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6D" w:rsidRDefault="00E7056D" w:rsidP="00E7056D"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6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56D" w:rsidRPr="00E7056D" w:rsidRDefault="00E7056D" w:rsidP="00E7056D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Pr="009E7ED1">
        <w:rPr>
          <w:b/>
          <w:sz w:val="28"/>
        </w:rPr>
        <w:t>MURANG’A  UNIVERSITY OF TECHNOLOGY</w:t>
      </w:r>
    </w:p>
    <w:p w:rsidR="007D63AF" w:rsidRDefault="007D63AF" w:rsidP="007D63AF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7D63AF" w:rsidRDefault="007D63AF" w:rsidP="007D63AF">
      <w:pPr>
        <w:rPr>
          <w:b/>
        </w:rPr>
      </w:pP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/>
          <w:b/>
          <w:sz w:val="32"/>
          <w:szCs w:val="32"/>
        </w:rPr>
        <w:t xml:space="preserve"> YEAR 1</w:t>
      </w:r>
      <w:r>
        <w:rPr>
          <w:rFonts w:ascii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/>
          <w:b/>
          <w:sz w:val="32"/>
          <w:szCs w:val="32"/>
        </w:rPr>
        <w:t xml:space="preserve"> SEMESTER EXAMINATION FOR THE DEGREE OF </w:t>
      </w:r>
      <w:r w:rsidRPr="00877E64">
        <w:rPr>
          <w:rFonts w:ascii="Times New Roman" w:hAnsi="Times New Roman" w:cs="Times New Roman"/>
          <w:b/>
          <w:sz w:val="32"/>
          <w:szCs w:val="32"/>
        </w:rPr>
        <w:t>BACHELOR OF</w:t>
      </w:r>
      <w:r>
        <w:rPr>
          <w:rFonts w:ascii="Times New Roman" w:hAnsi="Times New Roman" w:cs="Times New Roman"/>
          <w:b/>
          <w:sz w:val="32"/>
          <w:szCs w:val="32"/>
        </w:rPr>
        <w:t xml:space="preserve"> SCIENCE ACTUARIAL SCIENCE</w:t>
      </w:r>
    </w:p>
    <w:p w:rsidR="007D63AF" w:rsidRDefault="007D63AF" w:rsidP="007D63A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(REGULAR) </w:t>
      </w:r>
    </w:p>
    <w:p w:rsidR="007D63AF" w:rsidRPr="00877E64" w:rsidRDefault="007D63AF" w:rsidP="007D63A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D63AF" w:rsidRPr="00877E64" w:rsidRDefault="007D63AF" w:rsidP="007D63AF">
      <w:pPr>
        <w:rPr>
          <w:rFonts w:ascii="Times New Roman" w:hAnsi="Times New Roman" w:cs="Times New Roman"/>
          <w:b/>
          <w:sz w:val="28"/>
        </w:rPr>
      </w:pPr>
      <w:r w:rsidRPr="00877E64">
        <w:rPr>
          <w:rFonts w:ascii="Times New Roman" w:hAnsi="Times New Roman" w:cs="Times New Roman"/>
          <w:b/>
          <w:sz w:val="28"/>
        </w:rPr>
        <w:t>COURSE CODE: SAS 303</w:t>
      </w:r>
    </w:p>
    <w:p w:rsidR="007D63AF" w:rsidRPr="00877E64" w:rsidRDefault="007D63AF" w:rsidP="007D63AF">
      <w:pPr>
        <w:spacing w:line="360" w:lineRule="auto"/>
        <w:rPr>
          <w:rFonts w:ascii="Times New Roman" w:hAnsi="Times New Roman" w:cs="Times New Roman"/>
          <w:b/>
          <w:bCs/>
          <w:spacing w:val="-2"/>
          <w:sz w:val="28"/>
        </w:rPr>
      </w:pPr>
      <w:r w:rsidRPr="00877E64">
        <w:rPr>
          <w:rFonts w:ascii="Times New Roman" w:hAnsi="Times New Roman" w:cs="Times New Roman"/>
          <w:b/>
          <w:sz w:val="28"/>
        </w:rPr>
        <w:t>COURSE TITLE: ESTIMATION THEORY</w:t>
      </w:r>
    </w:p>
    <w:p w:rsidR="007D63AF" w:rsidRPr="00877E64" w:rsidRDefault="007D63AF" w:rsidP="007D63AF">
      <w:pPr>
        <w:tabs>
          <w:tab w:val="left" w:pos="1380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877E64">
        <w:rPr>
          <w:rFonts w:ascii="Times New Roman" w:hAnsi="Times New Roman" w:cs="Times New Roman"/>
          <w:b/>
          <w:sz w:val="28"/>
        </w:rPr>
        <w:t>DATE: 1</w:t>
      </w:r>
      <w:r>
        <w:rPr>
          <w:rFonts w:ascii="Times New Roman" w:hAnsi="Times New Roman" w:cs="Times New Roman"/>
          <w:b/>
          <w:sz w:val="28"/>
        </w:rPr>
        <w:t>2</w:t>
      </w:r>
      <w:r w:rsidR="00E7056D">
        <w:rPr>
          <w:rFonts w:ascii="Times New Roman" w:hAnsi="Times New Roman" w:cs="Times New Roman"/>
          <w:b/>
          <w:sz w:val="28"/>
        </w:rPr>
        <w:t>/4/2017</w:t>
      </w:r>
      <w:r w:rsidRPr="00877E64">
        <w:rPr>
          <w:rFonts w:ascii="Times New Roman" w:hAnsi="Times New Roman" w:cs="Times New Roman"/>
          <w:b/>
          <w:sz w:val="28"/>
        </w:rPr>
        <w:tab/>
      </w:r>
      <w:r w:rsidRPr="00877E64">
        <w:rPr>
          <w:rFonts w:ascii="Times New Roman" w:hAnsi="Times New Roman" w:cs="Times New Roman"/>
          <w:b/>
          <w:sz w:val="28"/>
        </w:rPr>
        <w:tab/>
      </w:r>
      <w:r w:rsidRPr="00877E64">
        <w:rPr>
          <w:rFonts w:ascii="Times New Roman" w:hAnsi="Times New Roman" w:cs="Times New Roman"/>
          <w:b/>
          <w:sz w:val="28"/>
        </w:rPr>
        <w:tab/>
      </w:r>
      <w:r w:rsidRPr="00877E64">
        <w:rPr>
          <w:rFonts w:ascii="Times New Roman" w:hAnsi="Times New Roman" w:cs="Times New Roman"/>
          <w:b/>
          <w:sz w:val="28"/>
        </w:rPr>
        <w:tab/>
        <w:t>TIME: 9.00-11.00 AM</w:t>
      </w:r>
    </w:p>
    <w:p w:rsidR="007D63AF" w:rsidRPr="00877E64" w:rsidRDefault="007D63AF" w:rsidP="007D63A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877E64">
        <w:rPr>
          <w:rFonts w:ascii="Times New Roman" w:hAnsi="Times New Roman" w:cs="Times New Roman"/>
          <w:b/>
          <w:sz w:val="28"/>
        </w:rPr>
        <w:t>DURATION: 2 HOURS</w:t>
      </w:r>
    </w:p>
    <w:p w:rsidR="007D63AF" w:rsidRDefault="007D63AF" w:rsidP="007D63AF">
      <w:pPr>
        <w:spacing w:line="360" w:lineRule="auto"/>
        <w:rPr>
          <w:rFonts w:ascii="Times New Roman" w:hAnsi="Times New Roman"/>
          <w:b/>
          <w:sz w:val="28"/>
        </w:rPr>
      </w:pPr>
    </w:p>
    <w:p w:rsidR="007D63AF" w:rsidRDefault="007D63AF" w:rsidP="007D63AF">
      <w:pPr>
        <w:spacing w:line="360" w:lineRule="auto"/>
        <w:rPr>
          <w:rFonts w:ascii="Times New Roman" w:hAnsi="Times New Roman"/>
          <w:b/>
          <w:sz w:val="28"/>
        </w:rPr>
      </w:pPr>
    </w:p>
    <w:p w:rsidR="007D63AF" w:rsidRDefault="007D63AF" w:rsidP="007D63AF">
      <w:pPr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INSTRUCTIONS</w:t>
      </w:r>
    </w:p>
    <w:p w:rsidR="007D63AF" w:rsidRDefault="007D63AF" w:rsidP="007D63A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This paper consists of 5 Questions.</w:t>
      </w:r>
    </w:p>
    <w:p w:rsidR="007D63AF" w:rsidRDefault="007D63AF" w:rsidP="007D63A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Answer Question 1 (Compulsory) and any other 2 questions.</w:t>
      </w:r>
    </w:p>
    <w:p w:rsidR="007D63AF" w:rsidRPr="00877E64" w:rsidRDefault="007D63AF" w:rsidP="007D63A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Write your answers on the answer booklet provided.</w:t>
      </w: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7D63AF" w:rsidRDefault="007D63A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b/>
          <w:bCs/>
          <w:sz w:val="24"/>
          <w:szCs w:val="24"/>
          <w:lang w:val="en-US"/>
        </w:rPr>
        <w:t>QUESTION ONE (20 MARKS)</w:t>
      </w: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Distinguish clearly the terms sufficiency and completeness as used in estimation theory.  (4marks)</w:t>
      </w:r>
    </w:p>
    <w:p w:rsidR="004D775F" w:rsidRPr="0047752C" w:rsidRDefault="004D775F" w:rsidP="004D775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Consider the probability density function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=c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1+θx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    -1≤x≤1</m:t>
        </m:r>
      </m:oMath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For the true value of c, find the MME of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>(5marks)</w:t>
      </w:r>
    </w:p>
    <w:p w:rsidR="004D775F" w:rsidRPr="0047752C" w:rsidRDefault="004D775F" w:rsidP="004D775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be iid binomial (n,P) random variables. Find the Cramer-Rao lower bound for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>
        <w:rPr>
          <w:rFonts w:asciiTheme="majorHAnsi" w:hAnsiTheme="majorHAnsi" w:cs="Times New Roman"/>
          <w:iCs/>
          <w:sz w:val="24"/>
          <w:szCs w:val="24"/>
          <w:lang w:val="en-US"/>
        </w:rPr>
        <w:tab/>
        <w:t>(6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marks)</w:t>
      </w:r>
    </w:p>
    <w:p w:rsidR="004D775F" w:rsidRPr="0047752C" w:rsidRDefault="004D775F" w:rsidP="004D775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47752C">
        <w:rPr>
          <w:rFonts w:asciiTheme="majorHAnsi" w:hAnsiTheme="majorHAnsi"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be a random sample of size n from </w:t>
      </w:r>
      <m:oMath>
        <m:r>
          <w:rPr>
            <w:rFonts w:ascii="Cambria Math" w:hAnsi="Cambria Math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μ,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σ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  <w:lang w:val="en-US"/>
          </w:rPr>
          <m:t xml:space="preserve">. 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Show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is biased for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μ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and state the amount of bias.</w:t>
      </w:r>
      <w:r w:rsidRPr="0047752C"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  <w:t>(4</w:t>
      </w:r>
      <w:r w:rsidRPr="0047752C">
        <w:rPr>
          <w:rFonts w:asciiTheme="majorHAnsi" w:hAnsiTheme="majorHAnsi"/>
          <w:sz w:val="24"/>
          <w:szCs w:val="24"/>
          <w:lang w:val="en-US"/>
        </w:rPr>
        <w:t>m</w:t>
      </w:r>
      <w:r>
        <w:rPr>
          <w:rFonts w:asciiTheme="majorHAnsi" w:hAnsiTheme="majorHAnsi"/>
          <w:sz w:val="24"/>
          <w:szCs w:val="24"/>
          <w:lang w:val="en-US"/>
        </w:rPr>
        <w:t>ar</w:t>
      </w:r>
      <w:r w:rsidRPr="0047752C">
        <w:rPr>
          <w:rFonts w:asciiTheme="majorHAnsi" w:hAnsiTheme="majorHAnsi"/>
          <w:sz w:val="24"/>
          <w:szCs w:val="24"/>
          <w:lang w:val="en-US"/>
        </w:rPr>
        <w:t>ks)</w:t>
      </w:r>
    </w:p>
    <w:p w:rsidR="004D775F" w:rsidRPr="0047752C" w:rsidRDefault="004D775F" w:rsidP="004D775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47752C">
        <w:rPr>
          <w:rFonts w:asciiTheme="majorHAnsi" w:hAnsiTheme="majorHAnsi"/>
          <w:sz w:val="24"/>
          <w:szCs w:val="24"/>
          <w:lang w:val="en-US"/>
        </w:rPr>
        <w:t xml:space="preserve">Suppose we have a random sample of size 2n from a population denoted by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and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=μ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, Var (X)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. Let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2n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 be two estimators of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μ</m:t>
        </m:r>
      </m:oMath>
      <w:r w:rsidRPr="0047752C">
        <w:rPr>
          <w:rFonts w:asciiTheme="majorHAnsi" w:hAnsiTheme="majorHAnsi"/>
          <w:sz w:val="24"/>
          <w:szCs w:val="24"/>
          <w:lang w:val="en-US"/>
        </w:rPr>
        <w:t xml:space="preserve">. Which is the better estimator of </w:t>
      </w:r>
      <m:oMath>
        <m:r>
          <w:rPr>
            <w:rFonts w:ascii="Cambria Math" w:hAnsi="Cambria Math"/>
            <w:sz w:val="24"/>
            <w:szCs w:val="24"/>
            <w:lang w:val="en-US"/>
          </w:rPr>
          <m:t>μ.</m:t>
        </m:r>
      </m:oMath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>
        <w:rPr>
          <w:rFonts w:asciiTheme="majorHAnsi" w:hAnsiTheme="majorHAnsi"/>
          <w:sz w:val="24"/>
          <w:szCs w:val="24"/>
          <w:lang w:val="en-US"/>
        </w:rPr>
        <w:tab/>
      </w:r>
      <w:r w:rsidRPr="0047752C">
        <w:rPr>
          <w:rFonts w:asciiTheme="majorHAnsi" w:hAnsiTheme="majorHAnsi"/>
          <w:sz w:val="24"/>
          <w:szCs w:val="24"/>
          <w:lang w:val="en-US"/>
        </w:rPr>
        <w:t>(5m</w:t>
      </w:r>
      <w:r>
        <w:rPr>
          <w:rFonts w:asciiTheme="majorHAnsi" w:hAnsiTheme="majorHAnsi"/>
          <w:sz w:val="24"/>
          <w:szCs w:val="24"/>
          <w:lang w:val="en-US"/>
        </w:rPr>
        <w:t>ar</w:t>
      </w:r>
      <w:r w:rsidRPr="0047752C">
        <w:rPr>
          <w:rFonts w:asciiTheme="majorHAnsi" w:hAnsiTheme="majorHAnsi"/>
          <w:sz w:val="24"/>
          <w:szCs w:val="24"/>
          <w:lang w:val="en-US"/>
        </w:rPr>
        <w:t>ks)</w:t>
      </w:r>
    </w:p>
    <w:p w:rsidR="004D775F" w:rsidRPr="0047752C" w:rsidRDefault="004D775F" w:rsidP="004D775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It is largely thought that the average daily intake of dairy products differ significantly between the urban male and female. A survey of 50 urban men and women yielded the following results. </w:t>
      </w:r>
    </w:p>
    <w:tbl>
      <w:tblPr>
        <w:tblStyle w:val="TableGrid"/>
        <w:tblW w:w="0" w:type="auto"/>
        <w:tblInd w:w="2376" w:type="dxa"/>
        <w:tblLook w:val="04A0"/>
      </w:tblPr>
      <w:tblGrid>
        <w:gridCol w:w="3261"/>
        <w:gridCol w:w="1636"/>
        <w:gridCol w:w="1482"/>
      </w:tblGrid>
      <w:tr w:rsidR="004D775F" w:rsidRPr="0047752C" w:rsidTr="00214165">
        <w:tc>
          <w:tcPr>
            <w:tcW w:w="3261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male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female</w:t>
            </w:r>
          </w:p>
        </w:tc>
      </w:tr>
      <w:tr w:rsidR="004D775F" w:rsidRPr="0047752C" w:rsidTr="00214165">
        <w:tc>
          <w:tcPr>
            <w:tcW w:w="3261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Sample mean</w:t>
            </w: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756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762</w:t>
            </w:r>
          </w:p>
        </w:tc>
      </w:tr>
      <w:tr w:rsidR="004D775F" w:rsidRPr="0047752C" w:rsidTr="00214165">
        <w:tc>
          <w:tcPr>
            <w:tcW w:w="3261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Sample standard deviation</w:t>
            </w: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35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30</w:t>
            </w:r>
          </w:p>
        </w:tc>
      </w:tr>
    </w:tbl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Based on both a 95%  and a 99% confidence intervals accept or refute the above claim.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>(6marks)</w:t>
      </w:r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b/>
          <w:bCs/>
          <w:sz w:val="24"/>
          <w:szCs w:val="24"/>
          <w:lang w:val="en-US"/>
        </w:rPr>
        <w:t>QUESTION TWO (20 MARKS)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7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be iid random variables from the uniform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x,θ</m:t>
            </m:r>
          </m:e>
        </m:d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distribution. Show that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  <m:sup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w:br/>
          </m:r>
        </m:oMath>
      </m:oMathPara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is a consistent estimator of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-1</m:t>
            </m:r>
          </m:sup>
        </m:sSup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                                                                                  (8marks)</w:t>
      </w:r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7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Use the Lehmann Scheffe method of construction of minimal sufficient statistics to find the minimal sufficient statistic for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θ=(μ,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given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are iid random variables from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N(μ,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                                                                                                  (7marks)</w:t>
      </w:r>
    </w:p>
    <w:p w:rsidR="004D775F" w:rsidRPr="0047752C" w:rsidRDefault="004D775F" w:rsidP="004D775F">
      <w:pPr>
        <w:pStyle w:val="ListParagraph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7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X be gamma random variable with probability density function </w:t>
      </w:r>
    </w:p>
    <w:p w:rsidR="004D775F" w:rsidRPr="0047752C" w:rsidRDefault="004D775F" w:rsidP="004D775F">
      <w:pPr>
        <w:pStyle w:val="ListParagraph"/>
        <w:rPr>
          <w:oMath/>
          <w:rFonts w:ascii="Cambria Math" w:hAnsi="Cambria Math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ind w:left="1440"/>
        <w:rPr>
          <w:rFonts w:asciiTheme="majorHAnsi" w:hAnsiTheme="majorHAnsi" w:cs="Times New Roman"/>
          <w:i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x,θ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p-1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-x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θ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θ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,  &amp;x&gt;0,p&gt;0,θ&gt;0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0,  &amp;x≤0</m:t>
                  </m:r>
                </m:e>
              </m:eqArr>
            </m:e>
          </m:d>
        </m:oMath>
      </m:oMathPara>
    </w:p>
    <w:p w:rsidR="004D775F" w:rsidRPr="0047752C" w:rsidRDefault="004D775F" w:rsidP="004D775F">
      <w:pPr>
        <w:pStyle w:val="NoSpacing"/>
        <w:ind w:left="1440"/>
        <w:rPr>
          <w:rFonts w:asciiTheme="majorHAnsi" w:hAnsiTheme="majorHAnsi" w:cs="Times New Roman"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Show that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x,θ</m:t>
            </m:r>
          </m:e>
        </m:d>
      </m:oMath>
      <w:r w:rsidRPr="0047752C">
        <w:rPr>
          <w:rFonts w:asciiTheme="majorHAnsi" w:hAnsiTheme="majorHAnsi" w:cs="Times New Roman"/>
          <w:sz w:val="24"/>
          <w:szCs w:val="24"/>
          <w:lang w:val="en-US"/>
        </w:rPr>
        <w:t xml:space="preserve"> belongs to a 1- parameter exponential family whenever p is known.</w:t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  <w:t xml:space="preserve"> (5marks)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b/>
          <w:b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b/>
          <w:bCs/>
          <w:sz w:val="24"/>
          <w:szCs w:val="24"/>
          <w:lang w:val="en-US"/>
        </w:rPr>
        <w:t>QUESTION THREE (20 MARKS)</w:t>
      </w: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2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are iid random binomial (1,P) random variables. A biased coin is tossed n times with probability of success as P. Show that to estimate P it is sufficient to know the statistic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T=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(6marks)</w:t>
      </w: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2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are iid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N(μ,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random variables. Find the UMVUE of </w:t>
      </w:r>
    </w:p>
    <w:p w:rsidR="004D775F" w:rsidRPr="0047752C" w:rsidRDefault="004D775F" w:rsidP="004D775F">
      <w:pPr>
        <w:pStyle w:val="NoSpacing"/>
        <w:numPr>
          <w:ilvl w:val="0"/>
          <w:numId w:val="3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w:lastRenderedPageBreak/>
          <m:t>μ</m:t>
        </m:r>
      </m:oMath>
    </w:p>
    <w:p w:rsidR="004D775F" w:rsidRPr="0047752C" w:rsidRDefault="00F63063" w:rsidP="004D775F">
      <w:pPr>
        <w:pStyle w:val="NoSpacing"/>
        <w:numPr>
          <w:ilvl w:val="0"/>
          <w:numId w:val="3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:rsidR="004D775F" w:rsidRPr="0047752C" w:rsidRDefault="004D775F" w:rsidP="004D775F">
      <w:pPr>
        <w:pStyle w:val="NoSpacing"/>
        <w:numPr>
          <w:ilvl w:val="0"/>
          <w:numId w:val="3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(9marks)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2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Based on the data below, obtain estimates of the UMVUE established for the three parameters in b above. 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1951" w:type="dxa"/>
        <w:tblLook w:val="04A0"/>
      </w:tblPr>
      <w:tblGrid>
        <w:gridCol w:w="1443"/>
        <w:gridCol w:w="400"/>
        <w:gridCol w:w="567"/>
        <w:gridCol w:w="567"/>
        <w:gridCol w:w="567"/>
        <w:gridCol w:w="567"/>
        <w:gridCol w:w="567"/>
        <w:gridCol w:w="709"/>
        <w:gridCol w:w="567"/>
      </w:tblGrid>
      <w:tr w:rsidR="004D775F" w:rsidRPr="0047752C" w:rsidTr="00214165">
        <w:tc>
          <w:tcPr>
            <w:tcW w:w="1443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400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26</w:t>
            </w:r>
          </w:p>
        </w:tc>
      </w:tr>
      <w:tr w:rsidR="004D775F" w:rsidRPr="0047752C" w:rsidTr="00214165">
        <w:tc>
          <w:tcPr>
            <w:tcW w:w="1443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400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</w:tbl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 xml:space="preserve">        (5marks) </w:t>
      </w: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b/>
          <w:bCs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b/>
          <w:bCs/>
          <w:iCs/>
          <w:sz w:val="24"/>
          <w:szCs w:val="24"/>
          <w:lang w:val="en-US"/>
        </w:rPr>
        <w:t>QUESTION FOUR (20 MARKS)</w:t>
      </w:r>
    </w:p>
    <w:p w:rsidR="004D775F" w:rsidRPr="0047752C" w:rsidRDefault="004D775F" w:rsidP="004D775F">
      <w:pPr>
        <w:pStyle w:val="NoSpacing"/>
        <w:ind w:left="72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4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Suppose </w:t>
      </w:r>
      <w:r>
        <w:rPr>
          <w:rFonts w:ascii="Cambria Math" w:hAnsi="Cambria Math" w:cs="Times New Roman"/>
          <w:sz w:val="24"/>
          <w:szCs w:val="24"/>
          <w:lang w:val="en-US"/>
        </w:rPr>
        <w:br/>
      </w: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x,P,θ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θ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p-1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-θX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Γ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p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,  &amp;x&gt;0,p&gt;0,θ&gt;0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0,  &amp; otherwise</m:t>
                  </m:r>
                </m:e>
              </m:eqArr>
            </m:e>
          </m:d>
        </m:oMath>
      </m:oMathPara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Derive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E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and E(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hence propose the MME for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 and P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.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 xml:space="preserve">  (9marks)</w:t>
      </w:r>
    </w:p>
    <w:p w:rsidR="004D775F" w:rsidRPr="0047752C" w:rsidRDefault="004D775F" w:rsidP="004D775F">
      <w:pPr>
        <w:pStyle w:val="NoSpacing"/>
        <w:numPr>
          <w:ilvl w:val="0"/>
          <w:numId w:val="4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be iid  poisson random variables with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,θ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-θ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θ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!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 x=0,12,…</m:t>
        </m:r>
      </m:oMath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Obtain Fisher’s information for estimation of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θ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hence give the C.R.L.B for estimation of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θ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.                                                  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 xml:space="preserve"> (5marks)   </w:t>
      </w:r>
    </w:p>
    <w:p w:rsidR="004D775F" w:rsidRPr="0047752C" w:rsidRDefault="004D775F" w:rsidP="004D775F">
      <w:pPr>
        <w:pStyle w:val="NoSpacing"/>
        <w:numPr>
          <w:ilvl w:val="0"/>
          <w:numId w:val="4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Two insurance companies are selling a new product that targets the middle class and the elite in society. A random survey yielded the following information on the attitude of the intended market towards this product.  </w:t>
      </w:r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Ind w:w="1951" w:type="dxa"/>
        <w:tblLook w:val="04A0"/>
      </w:tblPr>
      <w:tblGrid>
        <w:gridCol w:w="3686"/>
        <w:gridCol w:w="1636"/>
        <w:gridCol w:w="1482"/>
      </w:tblGrid>
      <w:tr w:rsidR="004D775F" w:rsidRPr="0047752C" w:rsidTr="00214165">
        <w:tc>
          <w:tcPr>
            <w:tcW w:w="368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Middle class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elite</w:t>
            </w:r>
          </w:p>
        </w:tc>
      </w:tr>
      <w:tr w:rsidR="004D775F" w:rsidRPr="0047752C" w:rsidTr="00214165">
        <w:tc>
          <w:tcPr>
            <w:tcW w:w="368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Sample size</w:t>
            </w: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50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100</w:t>
            </w:r>
          </w:p>
        </w:tc>
      </w:tr>
      <w:tr w:rsidR="004D775F" w:rsidRPr="0047752C" w:rsidTr="00214165">
        <w:tc>
          <w:tcPr>
            <w:tcW w:w="368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Number favoring new product</w:t>
            </w:r>
          </w:p>
        </w:tc>
        <w:tc>
          <w:tcPr>
            <w:tcW w:w="1636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38</w:t>
            </w:r>
          </w:p>
        </w:tc>
        <w:tc>
          <w:tcPr>
            <w:tcW w:w="1482" w:type="dxa"/>
          </w:tcPr>
          <w:p w:rsidR="004D775F" w:rsidRPr="0047752C" w:rsidRDefault="004D775F" w:rsidP="00214165">
            <w:pPr>
              <w:pStyle w:val="NoSpacing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65</w:t>
            </w:r>
          </w:p>
        </w:tc>
      </w:tr>
    </w:tbl>
    <w:p w:rsidR="004D775F" w:rsidRPr="0047752C" w:rsidRDefault="004D775F" w:rsidP="004D775F">
      <w:pPr>
        <w:pStyle w:val="NoSpacing"/>
        <w:ind w:left="144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8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Estimate the difference in the true proportions favoring the new product with a 99% confidence interval.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>(4marks)</w:t>
      </w:r>
    </w:p>
    <w:p w:rsidR="004D775F" w:rsidRPr="0047752C" w:rsidRDefault="004D775F" w:rsidP="004D775F">
      <w:pPr>
        <w:pStyle w:val="NoSpacing"/>
        <w:numPr>
          <w:ilvl w:val="0"/>
          <w:numId w:val="8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If both samples are pooled into one. Find a point estimate for the proportion that favors the new product and give the margin of error.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>(2marks)</w:t>
      </w:r>
    </w:p>
    <w:p w:rsidR="004D775F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</w:p>
    <w:p w:rsidR="004D775F" w:rsidRPr="0047752C" w:rsidRDefault="004D775F" w:rsidP="004D775F">
      <w:pPr>
        <w:pStyle w:val="NoSpacing"/>
        <w:ind w:firstLine="720"/>
        <w:rPr>
          <w:rFonts w:asciiTheme="majorHAnsi" w:hAnsiTheme="majorHAnsi" w:cs="Times New Roman"/>
          <w:b/>
          <w:bCs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b/>
          <w:bCs/>
          <w:iCs/>
          <w:sz w:val="24"/>
          <w:szCs w:val="24"/>
          <w:lang w:val="en-US"/>
        </w:rPr>
        <w:t>QUESTION FIVE (20 MARKS)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5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Let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X~N(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. Find a complete sufficient statistic for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.</w:t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</w: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ab/>
        <w:t xml:space="preserve">   (5marks)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5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Let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be a random sample for a binomial random variable X with parameter (m,p) where m is assumed to be known and p unknown. Derive the general MLE of p hence an exact estimate given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=60,  n=30,  m=10</m:t>
            </m:r>
          </m:e>
        </m:nary>
      </m:oMath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 xml:space="preserve"> (7marks)</w:t>
      </w:r>
    </w:p>
    <w:p w:rsidR="004D775F" w:rsidRPr="0047752C" w:rsidRDefault="004D775F" w:rsidP="004D775F">
      <w:pPr>
        <w:pStyle w:val="NoSpacing"/>
        <w:ind w:left="1080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numPr>
          <w:ilvl w:val="0"/>
          <w:numId w:val="5"/>
        </w:numPr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Two random samples on the average score on an aptitude test were tabulated as shown</w:t>
      </w: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Ind w:w="1668" w:type="dxa"/>
        <w:tblLook w:val="04A0"/>
      </w:tblPr>
      <w:tblGrid>
        <w:gridCol w:w="1463"/>
        <w:gridCol w:w="1372"/>
        <w:gridCol w:w="1559"/>
        <w:gridCol w:w="1843"/>
      </w:tblGrid>
      <w:tr w:rsidR="004D775F" w:rsidRPr="0047752C" w:rsidTr="00214165">
        <w:tc>
          <w:tcPr>
            <w:tcW w:w="2835" w:type="dxa"/>
            <w:gridSpan w:val="2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Sample A</w:t>
            </w:r>
          </w:p>
        </w:tc>
        <w:tc>
          <w:tcPr>
            <w:tcW w:w="3402" w:type="dxa"/>
            <w:gridSpan w:val="2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Sample B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frequency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6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4</w:t>
            </w:r>
          </w:p>
        </w:tc>
      </w:tr>
      <w:tr w:rsidR="004D775F" w:rsidRPr="0047752C" w:rsidTr="00214165">
        <w:tc>
          <w:tcPr>
            <w:tcW w:w="146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72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4D775F" w:rsidRPr="0047752C" w:rsidRDefault="004D775F" w:rsidP="00214165">
            <w:pPr>
              <w:pStyle w:val="ListParagraph"/>
              <w:ind w:left="0"/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</w:pPr>
            <w:r w:rsidRPr="0047752C">
              <w:rPr>
                <w:rFonts w:asciiTheme="majorHAnsi" w:hAnsiTheme="majorHAnsi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</w:tbl>
    <w:p w:rsidR="004D775F" w:rsidRPr="0047752C" w:rsidRDefault="004D775F" w:rsidP="004D775F">
      <w:pPr>
        <w:pStyle w:val="ListParagraph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pStyle w:val="ListParagraph"/>
        <w:rPr>
          <w:rFonts w:asciiTheme="majorHAnsi" w:hAnsiTheme="majorHAnsi" w:cs="Times New Roman"/>
          <w:iCs/>
          <w:sz w:val="24"/>
          <w:szCs w:val="24"/>
          <w:lang w:val="en-US"/>
        </w:rPr>
      </w:pPr>
      <w:r w:rsidRPr="0047752C">
        <w:rPr>
          <w:rFonts w:asciiTheme="majorHAnsi" w:hAnsiTheme="majorHAnsi" w:cs="Times New Roman"/>
          <w:iCs/>
          <w:sz w:val="24"/>
          <w:szCs w:val="24"/>
          <w:lang w:val="en-US"/>
        </w:rPr>
        <w:t>Obtain a 90% confidence interval for the difference of means and comment on it. (8marks)</w:t>
      </w:r>
    </w:p>
    <w:p w:rsidR="004D775F" w:rsidRPr="0047752C" w:rsidRDefault="004D775F" w:rsidP="004D775F">
      <w:pPr>
        <w:pStyle w:val="ListParagraph"/>
        <w:rPr>
          <w:rFonts w:asciiTheme="majorHAnsi" w:hAnsiTheme="majorHAnsi" w:cs="Times New Roman"/>
          <w:iCs/>
          <w:sz w:val="24"/>
          <w:szCs w:val="24"/>
          <w:lang w:val="en-US"/>
        </w:rPr>
      </w:pPr>
    </w:p>
    <w:p w:rsidR="004D775F" w:rsidRPr="0047752C" w:rsidRDefault="004D775F" w:rsidP="004D775F">
      <w:pPr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Pr="0047752C" w:rsidRDefault="004D775F" w:rsidP="004D775F">
      <w:pPr>
        <w:pStyle w:val="NoSpacing"/>
        <w:rPr>
          <w:rFonts w:asciiTheme="majorHAnsi" w:hAnsiTheme="majorHAnsi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D775F" w:rsidRPr="000D2362" w:rsidRDefault="004D775F" w:rsidP="004D77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17FFA" w:rsidRDefault="00017FFA"/>
    <w:sectPr w:rsidR="00017FFA" w:rsidSect="007D63AF">
      <w:footerReference w:type="default" r:id="rId8"/>
      <w:pgSz w:w="11906" w:h="16838"/>
      <w:pgMar w:top="360" w:right="737" w:bottom="1440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55" w:rsidRDefault="00926555" w:rsidP="00CE1A20">
      <w:pPr>
        <w:spacing w:after="0" w:line="240" w:lineRule="auto"/>
      </w:pPr>
      <w:r>
        <w:separator/>
      </w:r>
    </w:p>
  </w:endnote>
  <w:endnote w:type="continuationSeparator" w:id="1">
    <w:p w:rsidR="00926555" w:rsidRDefault="00926555" w:rsidP="00CE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8110"/>
      <w:docPartObj>
        <w:docPartGallery w:val="Page Numbers (Bottom of Page)"/>
        <w:docPartUnique/>
      </w:docPartObj>
    </w:sdtPr>
    <w:sdtContent>
      <w:p w:rsidR="00CE1A20" w:rsidRDefault="00F63063">
        <w:pPr>
          <w:pStyle w:val="Footer"/>
          <w:jc w:val="center"/>
        </w:pPr>
        <w:fldSimple w:instr=" PAGE   \* MERGEFORMAT ">
          <w:r w:rsidR="00E7056D">
            <w:rPr>
              <w:noProof/>
            </w:rPr>
            <w:t>1</w:t>
          </w:r>
        </w:fldSimple>
      </w:p>
    </w:sdtContent>
  </w:sdt>
  <w:p w:rsidR="00CE1A20" w:rsidRDefault="00CE1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55" w:rsidRDefault="00926555" w:rsidP="00CE1A20">
      <w:pPr>
        <w:spacing w:after="0" w:line="240" w:lineRule="auto"/>
      </w:pPr>
      <w:r>
        <w:separator/>
      </w:r>
    </w:p>
  </w:footnote>
  <w:footnote w:type="continuationSeparator" w:id="1">
    <w:p w:rsidR="00926555" w:rsidRDefault="00926555" w:rsidP="00CE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692"/>
    <w:multiLevelType w:val="hybridMultilevel"/>
    <w:tmpl w:val="B02AE2F6"/>
    <w:lvl w:ilvl="0" w:tplc="13FE4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629C8"/>
    <w:multiLevelType w:val="hybridMultilevel"/>
    <w:tmpl w:val="D19AA570"/>
    <w:lvl w:ilvl="0" w:tplc="50B82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3689F"/>
    <w:multiLevelType w:val="hybridMultilevel"/>
    <w:tmpl w:val="950C727E"/>
    <w:lvl w:ilvl="0" w:tplc="0D468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8A15AB"/>
    <w:multiLevelType w:val="hybridMultilevel"/>
    <w:tmpl w:val="F7B47E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17A4A88"/>
    <w:multiLevelType w:val="hybridMultilevel"/>
    <w:tmpl w:val="580E6940"/>
    <w:lvl w:ilvl="0" w:tplc="C4BAD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B18"/>
    <w:multiLevelType w:val="hybridMultilevel"/>
    <w:tmpl w:val="4E8EFC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823AF0"/>
    <w:multiLevelType w:val="hybridMultilevel"/>
    <w:tmpl w:val="B7945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44DEA"/>
    <w:multiLevelType w:val="hybridMultilevel"/>
    <w:tmpl w:val="FD5EC06E"/>
    <w:lvl w:ilvl="0" w:tplc="E3F82B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75F"/>
    <w:rsid w:val="00017FFA"/>
    <w:rsid w:val="00025D3D"/>
    <w:rsid w:val="000843E0"/>
    <w:rsid w:val="00164DCC"/>
    <w:rsid w:val="00213E09"/>
    <w:rsid w:val="002A4080"/>
    <w:rsid w:val="003619F4"/>
    <w:rsid w:val="004D775F"/>
    <w:rsid w:val="005853BA"/>
    <w:rsid w:val="005C56E5"/>
    <w:rsid w:val="005D5739"/>
    <w:rsid w:val="005E378F"/>
    <w:rsid w:val="006A5BA4"/>
    <w:rsid w:val="006F65C2"/>
    <w:rsid w:val="007D63AF"/>
    <w:rsid w:val="00903D71"/>
    <w:rsid w:val="00926555"/>
    <w:rsid w:val="00961D28"/>
    <w:rsid w:val="00AB04E9"/>
    <w:rsid w:val="00B870F8"/>
    <w:rsid w:val="00BE602E"/>
    <w:rsid w:val="00C26559"/>
    <w:rsid w:val="00C65C55"/>
    <w:rsid w:val="00CE1A20"/>
    <w:rsid w:val="00D977C3"/>
    <w:rsid w:val="00E7056D"/>
    <w:rsid w:val="00F06F15"/>
    <w:rsid w:val="00F63063"/>
    <w:rsid w:val="00F63E7A"/>
    <w:rsid w:val="00FB3781"/>
    <w:rsid w:val="00FE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5F"/>
    <w:rPr>
      <w:rFonts w:eastAsiaTheme="minorEastAsia"/>
      <w:szCs w:val="28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75F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table" w:styleId="TableGrid">
    <w:name w:val="Table Grid"/>
    <w:basedOn w:val="TableNormal"/>
    <w:uiPriority w:val="59"/>
    <w:rsid w:val="004D775F"/>
    <w:pPr>
      <w:spacing w:after="0" w:line="240" w:lineRule="auto"/>
    </w:pPr>
    <w:rPr>
      <w:szCs w:val="28"/>
      <w:lang w:val="en-GB" w:eastAsia="en-GB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7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5F"/>
    <w:rPr>
      <w:rFonts w:ascii="Tahoma" w:eastAsiaTheme="minorEastAsia" w:hAnsi="Tahoma" w:cs="Angsana New"/>
      <w:sz w:val="16"/>
      <w:szCs w:val="20"/>
      <w:lang w:val="en-GB" w:eastAsia="en-GB"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CE1A2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1A20"/>
    <w:rPr>
      <w:rFonts w:eastAsiaTheme="minorEastAsia" w:cs="Angsana New"/>
      <w:szCs w:val="28"/>
      <w:lang w:val="en-GB" w:eastAsia="en-GB" w:bidi="th-TH"/>
    </w:rPr>
  </w:style>
  <w:style w:type="paragraph" w:styleId="Footer">
    <w:name w:val="footer"/>
    <w:basedOn w:val="Normal"/>
    <w:link w:val="FooterChar"/>
    <w:uiPriority w:val="99"/>
    <w:unhideWhenUsed/>
    <w:rsid w:val="00CE1A2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CE1A20"/>
    <w:rPr>
      <w:rFonts w:eastAsiaTheme="minorEastAsia" w:cs="Angsana New"/>
      <w:szCs w:val="28"/>
      <w:lang w:val="en-GB" w:eastAsia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OTULA NYAKINDA</dc:creator>
  <cp:lastModifiedBy>USER</cp:lastModifiedBy>
  <cp:revision>2</cp:revision>
  <cp:lastPrinted>2013-08-12T07:35:00Z</cp:lastPrinted>
  <dcterms:created xsi:type="dcterms:W3CDTF">2017-09-25T16:27:00Z</dcterms:created>
  <dcterms:modified xsi:type="dcterms:W3CDTF">2017-09-25T16:27:00Z</dcterms:modified>
</cp:coreProperties>
</file>