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540A87"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540A87" w:rsidP="00137B44">
      <w:pPr>
        <w:spacing w:after="0" w:line="240" w:lineRule="auto"/>
        <w:jc w:val="center"/>
        <w:rPr>
          <w:rFonts w:ascii="Maiandra GD" w:hAnsi="Maiandra GD"/>
          <w:b/>
        </w:rPr>
      </w:pPr>
      <w:r w:rsidRPr="00540A87">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B30D41" w:rsidP="001E1503">
      <w:pPr>
        <w:spacing w:after="0" w:line="240" w:lineRule="auto"/>
        <w:jc w:val="center"/>
        <w:rPr>
          <w:rFonts w:ascii="Times New Roman" w:hAnsi="Times New Roman"/>
          <w:sz w:val="24"/>
          <w:szCs w:val="24"/>
        </w:rPr>
      </w:pPr>
      <w:r>
        <w:rPr>
          <w:rFonts w:ascii="Times New Roman" w:hAnsi="Times New Roman"/>
          <w:sz w:val="24"/>
          <w:szCs w:val="24"/>
        </w:rPr>
        <w:t>THIRD</w:t>
      </w:r>
      <w:r w:rsidR="009E6EDE">
        <w:rPr>
          <w:rFonts w:ascii="Times New Roman" w:hAnsi="Times New Roman"/>
          <w:sz w:val="24"/>
          <w:szCs w:val="24"/>
        </w:rPr>
        <w:t xml:space="preserve"> YEAR </w:t>
      </w:r>
      <w:r>
        <w:rPr>
          <w:rFonts w:ascii="Times New Roman" w:hAnsi="Times New Roman"/>
          <w:sz w:val="24"/>
          <w:szCs w:val="24"/>
        </w:rPr>
        <w:t>FIRST</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2F5AD8"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B30D41">
        <w:rPr>
          <w:rFonts w:ascii="Times New Roman" w:hAnsi="Times New Roman"/>
          <w:b/>
          <w:sz w:val="24"/>
          <w:szCs w:val="24"/>
        </w:rPr>
        <w:t>322</w:t>
      </w:r>
      <w:r w:rsidR="008F2E85">
        <w:rPr>
          <w:rFonts w:ascii="Times New Roman" w:hAnsi="Times New Roman"/>
          <w:b/>
          <w:sz w:val="24"/>
          <w:szCs w:val="24"/>
        </w:rPr>
        <w:t>7</w:t>
      </w:r>
      <w:r w:rsidR="00B24E91">
        <w:rPr>
          <w:rFonts w:ascii="Times New Roman" w:hAnsi="Times New Roman"/>
          <w:b/>
          <w:sz w:val="24"/>
          <w:szCs w:val="24"/>
        </w:rPr>
        <w:t xml:space="preserve">:  FINANCIAL </w:t>
      </w:r>
      <w:r w:rsidR="00B30D41">
        <w:rPr>
          <w:rFonts w:ascii="Times New Roman" w:hAnsi="Times New Roman"/>
          <w:b/>
          <w:sz w:val="24"/>
          <w:szCs w:val="24"/>
        </w:rPr>
        <w:t xml:space="preserve">ACCOUNTING THEORY </w:t>
      </w:r>
    </w:p>
    <w:p w:rsidR="00B24E91" w:rsidRDefault="00B24E91" w:rsidP="002F5AD8">
      <w:pPr>
        <w:spacing w:after="0" w:line="240" w:lineRule="auto"/>
        <w:jc w:val="center"/>
        <w:rPr>
          <w:rFonts w:ascii="Times New Roman" w:hAnsi="Times New Roman"/>
          <w:b/>
          <w:sz w:val="24"/>
          <w:szCs w:val="24"/>
        </w:rPr>
      </w:pPr>
    </w:p>
    <w:p w:rsidR="00137B44" w:rsidRDefault="00540A87" w:rsidP="00137B44">
      <w:pPr>
        <w:rPr>
          <w:rFonts w:ascii="Times New Roman" w:hAnsi="Times New Roman"/>
          <w:b/>
          <w:sz w:val="24"/>
          <w:szCs w:val="24"/>
        </w:rPr>
      </w:pPr>
      <w:r w:rsidRPr="00540A87">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540A87" w:rsidP="00453AA8">
      <w:pPr>
        <w:spacing w:after="0" w:line="240" w:lineRule="auto"/>
        <w:rPr>
          <w:rFonts w:ascii="Times New Roman" w:hAnsi="Times New Roman"/>
          <w:i/>
          <w:sz w:val="24"/>
          <w:szCs w:val="24"/>
        </w:rPr>
      </w:pPr>
      <w:r w:rsidRPr="00540A87">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8F2E8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C810B1" w:rsidRDefault="00504992" w:rsidP="008F2E85">
      <w:pPr>
        <w:pStyle w:val="ListParagraph"/>
        <w:numPr>
          <w:ilvl w:val="0"/>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 just concluded ICPA (K) conference at the Kenya School of Monetary Studies, it was pointed out that “the current annual accounts and financial reports” by companies are inadequate in terms of contents, disclosures and therefore have </w:t>
      </w:r>
      <w:r w:rsidR="00B7483C">
        <w:rPr>
          <w:rFonts w:ascii="Times New Roman" w:hAnsi="Times New Roman" w:cs="Times New Roman"/>
          <w:sz w:val="24"/>
          <w:szCs w:val="24"/>
        </w:rPr>
        <w:t xml:space="preserve">no higher reporting utility that meets the needs of users and stakeholders.  Further it was noted that the “Balance sheet” the “Profit and Loss Account” and “the Statement of cash flows” are all met for shareholders with no significant address to other classes of users of financial statements. </w:t>
      </w:r>
    </w:p>
    <w:p w:rsidR="00B7483C" w:rsidRDefault="00B7483C" w:rsidP="00B7483C">
      <w:pPr>
        <w:pStyle w:val="ListParagraph"/>
        <w:spacing w:after="120" w:line="360" w:lineRule="auto"/>
        <w:rPr>
          <w:rFonts w:ascii="Times New Roman" w:hAnsi="Times New Roman" w:cs="Times New Roman"/>
          <w:b/>
          <w:sz w:val="24"/>
          <w:szCs w:val="24"/>
        </w:rPr>
      </w:pPr>
      <w:r w:rsidRPr="00B7483C">
        <w:rPr>
          <w:rFonts w:ascii="Times New Roman" w:hAnsi="Times New Roman" w:cs="Times New Roman"/>
          <w:b/>
          <w:sz w:val="24"/>
          <w:szCs w:val="24"/>
        </w:rPr>
        <w:t xml:space="preserve">Required: </w:t>
      </w:r>
    </w:p>
    <w:p w:rsidR="00B7483C" w:rsidRDefault="00B7483C" w:rsidP="007B2AC7">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Discuss the inadequacies in accounting and financial reporting that are likely to feature in the current approaches of financial reporting through the use of annual accounts and financial statements as noted in the ICPA (K) conference.  (5 marks)</w:t>
      </w:r>
    </w:p>
    <w:p w:rsidR="00B7483C" w:rsidRDefault="00B7483C" w:rsidP="007B2AC7">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Elucidate clearly the term disclosure in the context of financial reporting and illustrate how accounts and financial statements can have adequate disclosures with regard to non-current assets of a company.   </w:t>
      </w:r>
      <w:r w:rsidR="008F2E85">
        <w:rPr>
          <w:rFonts w:ascii="Times New Roman" w:hAnsi="Times New Roman" w:cs="Times New Roman"/>
          <w:sz w:val="24"/>
          <w:szCs w:val="24"/>
        </w:rPr>
        <w:tab/>
      </w:r>
      <w:r w:rsidR="008F2E85">
        <w:rPr>
          <w:rFonts w:ascii="Times New Roman" w:hAnsi="Times New Roman" w:cs="Times New Roman"/>
          <w:sz w:val="24"/>
          <w:szCs w:val="24"/>
        </w:rPr>
        <w:tab/>
      </w:r>
      <w:r w:rsidR="008F2E85">
        <w:rPr>
          <w:rFonts w:ascii="Times New Roman" w:hAnsi="Times New Roman" w:cs="Times New Roman"/>
          <w:sz w:val="24"/>
          <w:szCs w:val="24"/>
        </w:rPr>
        <w:tab/>
      </w:r>
      <w:r>
        <w:rPr>
          <w:rFonts w:ascii="Times New Roman" w:hAnsi="Times New Roman" w:cs="Times New Roman"/>
          <w:sz w:val="24"/>
          <w:szCs w:val="24"/>
        </w:rPr>
        <w:t>(3 marks)</w:t>
      </w:r>
    </w:p>
    <w:p w:rsidR="00B7483C" w:rsidRDefault="00B7483C" w:rsidP="007B2AC7">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Explain the circumstances in which accounts and financial statements may fail to meet the needs of users and hence fail to provide higher financial reporting utility to stakeholders.  </w:t>
      </w:r>
      <w:r w:rsidR="008F2E85">
        <w:rPr>
          <w:rFonts w:ascii="Times New Roman" w:hAnsi="Times New Roman" w:cs="Times New Roman"/>
          <w:sz w:val="24"/>
          <w:szCs w:val="24"/>
        </w:rPr>
        <w:tab/>
      </w:r>
      <w:r w:rsidR="008F2E85">
        <w:rPr>
          <w:rFonts w:ascii="Times New Roman" w:hAnsi="Times New Roman" w:cs="Times New Roman"/>
          <w:sz w:val="24"/>
          <w:szCs w:val="24"/>
        </w:rPr>
        <w:tab/>
      </w:r>
      <w:r w:rsidR="008F2E85">
        <w:rPr>
          <w:rFonts w:ascii="Times New Roman" w:hAnsi="Times New Roman" w:cs="Times New Roman"/>
          <w:sz w:val="24"/>
          <w:szCs w:val="24"/>
        </w:rPr>
        <w:tab/>
      </w:r>
      <w:r w:rsidR="008F2E85">
        <w:rPr>
          <w:rFonts w:ascii="Times New Roman" w:hAnsi="Times New Roman" w:cs="Times New Roman"/>
          <w:sz w:val="24"/>
          <w:szCs w:val="24"/>
        </w:rPr>
        <w:tab/>
      </w:r>
      <w:r w:rsidR="008F2E85">
        <w:rPr>
          <w:rFonts w:ascii="Times New Roman" w:hAnsi="Times New Roman" w:cs="Times New Roman"/>
          <w:sz w:val="24"/>
          <w:szCs w:val="24"/>
        </w:rPr>
        <w:tab/>
      </w:r>
      <w:r w:rsidR="008F2E85">
        <w:rPr>
          <w:rFonts w:ascii="Times New Roman" w:hAnsi="Times New Roman" w:cs="Times New Roman"/>
          <w:sz w:val="24"/>
          <w:szCs w:val="24"/>
        </w:rPr>
        <w:tab/>
      </w:r>
      <w:r w:rsidR="008F2E85">
        <w:rPr>
          <w:rFonts w:ascii="Times New Roman" w:hAnsi="Times New Roman" w:cs="Times New Roman"/>
          <w:sz w:val="24"/>
          <w:szCs w:val="24"/>
        </w:rPr>
        <w:tab/>
      </w:r>
      <w:r>
        <w:rPr>
          <w:rFonts w:ascii="Times New Roman" w:hAnsi="Times New Roman" w:cs="Times New Roman"/>
          <w:sz w:val="24"/>
          <w:szCs w:val="24"/>
        </w:rPr>
        <w:t>(4 marks)</w:t>
      </w:r>
    </w:p>
    <w:p w:rsidR="00B7483C" w:rsidRDefault="00B7483C" w:rsidP="007B2AC7">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The following information was extracted from the records of stocks exchange market authority in one of the African Countries.</w:t>
      </w:r>
    </w:p>
    <w:p w:rsidR="00B7483C" w:rsidRDefault="00B7483C" w:rsidP="00B7483C">
      <w:pPr>
        <w:spacing w:after="120" w:line="360" w:lineRule="auto"/>
        <w:ind w:left="360"/>
        <w:rPr>
          <w:rFonts w:ascii="Times New Roman" w:hAnsi="Times New Roman" w:cs="Times New Roman"/>
          <w:sz w:val="24"/>
          <w:szCs w:val="24"/>
        </w:rPr>
      </w:pPr>
      <w:r>
        <w:rPr>
          <w:rFonts w:ascii="Times New Roman" w:hAnsi="Times New Roman" w:cs="Times New Roman"/>
          <w:sz w:val="24"/>
          <w:szCs w:val="24"/>
        </w:rPr>
        <w:t>Sasa Public Limited Liability Company Financial Position as at 31</w:t>
      </w:r>
      <w:r w:rsidRPr="00B7483C">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2016</w:t>
      </w:r>
    </w:p>
    <w:tbl>
      <w:tblPr>
        <w:tblStyle w:val="TableGrid"/>
        <w:tblpPr w:leftFromText="180" w:rightFromText="180" w:vertAnchor="text" w:tblpY="1"/>
        <w:tblOverlap w:val="never"/>
        <w:tblW w:w="0" w:type="auto"/>
        <w:tblInd w:w="360" w:type="dxa"/>
        <w:tblLook w:val="04A0"/>
      </w:tblPr>
      <w:tblGrid>
        <w:gridCol w:w="6127"/>
        <w:gridCol w:w="2126"/>
      </w:tblGrid>
      <w:tr w:rsidR="00D46DA4" w:rsidTr="00D46DA4">
        <w:tc>
          <w:tcPr>
            <w:tcW w:w="6127" w:type="dxa"/>
          </w:tcPr>
          <w:p w:rsidR="00D46DA4" w:rsidRPr="00D46DA4" w:rsidRDefault="00D46DA4" w:rsidP="00D46DA4">
            <w:pPr>
              <w:spacing w:after="120"/>
              <w:rPr>
                <w:rFonts w:ascii="Times New Roman" w:hAnsi="Times New Roman" w:cs="Times New Roman"/>
                <w:b/>
                <w:sz w:val="24"/>
                <w:szCs w:val="24"/>
              </w:rPr>
            </w:pPr>
            <w:r w:rsidRPr="00D46DA4">
              <w:rPr>
                <w:rFonts w:ascii="Times New Roman" w:hAnsi="Times New Roman" w:cs="Times New Roman"/>
                <w:b/>
                <w:sz w:val="24"/>
                <w:szCs w:val="24"/>
              </w:rPr>
              <w:t xml:space="preserve">Assets </w:t>
            </w:r>
          </w:p>
        </w:tc>
        <w:tc>
          <w:tcPr>
            <w:tcW w:w="2126" w:type="dxa"/>
          </w:tcPr>
          <w:p w:rsidR="00D46DA4" w:rsidRDefault="00D46DA4" w:rsidP="00D46DA4">
            <w:pPr>
              <w:spacing w:after="120"/>
              <w:jc w:val="right"/>
              <w:rPr>
                <w:rFonts w:ascii="Times New Roman" w:hAnsi="Times New Roman" w:cs="Times New Roman"/>
                <w:sz w:val="24"/>
                <w:szCs w:val="24"/>
              </w:rPr>
            </w:pPr>
          </w:p>
        </w:tc>
      </w:tr>
      <w:tr w:rsidR="00D46DA4" w:rsidTr="00D46DA4">
        <w:tc>
          <w:tcPr>
            <w:tcW w:w="6127" w:type="dxa"/>
          </w:tcPr>
          <w:p w:rsidR="00D46DA4" w:rsidRPr="00D46DA4" w:rsidRDefault="00D46DA4" w:rsidP="00D46DA4">
            <w:pPr>
              <w:spacing w:after="120"/>
              <w:rPr>
                <w:rFonts w:ascii="Times New Roman" w:hAnsi="Times New Roman" w:cs="Times New Roman"/>
                <w:b/>
                <w:sz w:val="24"/>
                <w:szCs w:val="24"/>
              </w:rPr>
            </w:pPr>
            <w:r w:rsidRPr="00D46DA4">
              <w:rPr>
                <w:rFonts w:ascii="Times New Roman" w:hAnsi="Times New Roman" w:cs="Times New Roman"/>
                <w:b/>
                <w:sz w:val="24"/>
                <w:szCs w:val="24"/>
              </w:rPr>
              <w:t>Non Current Assets (NBV)</w:t>
            </w:r>
          </w:p>
        </w:tc>
        <w:tc>
          <w:tcPr>
            <w:tcW w:w="2126" w:type="dxa"/>
          </w:tcPr>
          <w:p w:rsidR="00D46DA4" w:rsidRDefault="00D46DA4" w:rsidP="00D46DA4">
            <w:pPr>
              <w:spacing w:after="120"/>
              <w:jc w:val="right"/>
              <w:rPr>
                <w:rFonts w:ascii="Times New Roman" w:hAnsi="Times New Roman" w:cs="Times New Roman"/>
                <w:sz w:val="24"/>
                <w:szCs w:val="24"/>
              </w:rPr>
            </w:pPr>
          </w:p>
        </w:tc>
      </w:tr>
      <w:tr w:rsidR="00D46DA4" w:rsidTr="00D46DA4">
        <w:tc>
          <w:tcPr>
            <w:tcW w:w="6127" w:type="dxa"/>
          </w:tcPr>
          <w:p w:rsidR="00D46DA4" w:rsidRDefault="00D46DA4" w:rsidP="00D46DA4">
            <w:pPr>
              <w:spacing w:after="120"/>
              <w:rPr>
                <w:rFonts w:ascii="Times New Roman" w:hAnsi="Times New Roman" w:cs="Times New Roman"/>
                <w:sz w:val="24"/>
                <w:szCs w:val="24"/>
              </w:rPr>
            </w:pP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Shs Million</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Property, Plant &amp; Equipments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1,036</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Long term Investments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200</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Investment properties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250</w:t>
            </w:r>
          </w:p>
        </w:tc>
      </w:tr>
      <w:tr w:rsidR="00D46DA4" w:rsidTr="00D46DA4">
        <w:tc>
          <w:tcPr>
            <w:tcW w:w="6127" w:type="dxa"/>
          </w:tcPr>
          <w:p w:rsidR="00D46DA4" w:rsidRPr="00D46DA4" w:rsidRDefault="00D46DA4" w:rsidP="00D46DA4">
            <w:pPr>
              <w:spacing w:after="120"/>
              <w:rPr>
                <w:rFonts w:ascii="Times New Roman" w:hAnsi="Times New Roman" w:cs="Times New Roman"/>
                <w:b/>
                <w:sz w:val="24"/>
                <w:szCs w:val="24"/>
              </w:rPr>
            </w:pPr>
            <w:r w:rsidRPr="00D46DA4">
              <w:rPr>
                <w:rFonts w:ascii="Times New Roman" w:hAnsi="Times New Roman" w:cs="Times New Roman"/>
                <w:b/>
                <w:sz w:val="24"/>
                <w:szCs w:val="24"/>
              </w:rPr>
              <w:t xml:space="preserve">Current Assets </w:t>
            </w:r>
          </w:p>
        </w:tc>
        <w:tc>
          <w:tcPr>
            <w:tcW w:w="2126" w:type="dxa"/>
          </w:tcPr>
          <w:p w:rsidR="00D46DA4" w:rsidRDefault="00D46DA4" w:rsidP="00D46DA4">
            <w:pPr>
              <w:spacing w:after="120"/>
              <w:jc w:val="right"/>
              <w:rPr>
                <w:rFonts w:ascii="Times New Roman" w:hAnsi="Times New Roman" w:cs="Times New Roman"/>
                <w:sz w:val="24"/>
                <w:szCs w:val="24"/>
              </w:rPr>
            </w:pP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Debtors (Loans)</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10,750</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Bank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2,100</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Cash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450</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Short term investment in GOK treasury Bills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1,514</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Total Assets </w:t>
            </w:r>
          </w:p>
        </w:tc>
        <w:tc>
          <w:tcPr>
            <w:tcW w:w="2126" w:type="dxa"/>
          </w:tcPr>
          <w:p w:rsidR="00D46DA4" w:rsidRDefault="00D46DA4" w:rsidP="00D46DA4">
            <w:pPr>
              <w:spacing w:after="120"/>
              <w:jc w:val="right"/>
              <w:rPr>
                <w:rFonts w:ascii="Times New Roman" w:hAnsi="Times New Roman" w:cs="Times New Roman"/>
                <w:sz w:val="24"/>
                <w:szCs w:val="24"/>
              </w:rPr>
            </w:pPr>
            <w:r w:rsidRPr="00D46DA4">
              <w:rPr>
                <w:rFonts w:ascii="Times New Roman" w:hAnsi="Times New Roman" w:cs="Times New Roman"/>
                <w:position w:val="-14"/>
                <w:sz w:val="24"/>
                <w:szCs w:val="24"/>
              </w:rPr>
              <w:object w:dxaOrig="700" w:dyaOrig="420">
                <v:shape id="_x0000_i1025" type="#_x0000_t75" style="width:35.25pt;height:21pt" o:ole="">
                  <v:imagedata r:id="rId11" o:title=""/>
                </v:shape>
                <o:OLEObject Type="Embed" ProgID="Equation.3" ShapeID="_x0000_i1025" DrawAspect="Content" ObjectID="_1520842931" r:id="rId12"/>
              </w:objec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Financed by:</w:t>
            </w:r>
          </w:p>
        </w:tc>
        <w:tc>
          <w:tcPr>
            <w:tcW w:w="2126" w:type="dxa"/>
          </w:tcPr>
          <w:p w:rsidR="00D46DA4" w:rsidRDefault="00D46DA4" w:rsidP="00D46DA4">
            <w:pPr>
              <w:spacing w:after="120"/>
              <w:jc w:val="right"/>
              <w:rPr>
                <w:rFonts w:ascii="Times New Roman" w:hAnsi="Times New Roman" w:cs="Times New Roman"/>
                <w:sz w:val="24"/>
                <w:szCs w:val="24"/>
              </w:rPr>
            </w:pP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Ordinary share capital Shs.20 par value each</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1,000</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Share premium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300</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Assets revaluation reserve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186</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Profit and Loss Balance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1,500</w:t>
            </w:r>
          </w:p>
        </w:tc>
      </w:tr>
      <w:tr w:rsidR="00D46DA4" w:rsidTr="00D46DA4">
        <w:tc>
          <w:tcPr>
            <w:tcW w:w="6127" w:type="dxa"/>
          </w:tcPr>
          <w:p w:rsidR="00D46DA4" w:rsidRPr="00D46DA4" w:rsidRDefault="00D46DA4" w:rsidP="00D46DA4">
            <w:pPr>
              <w:spacing w:after="120"/>
              <w:rPr>
                <w:rFonts w:ascii="Times New Roman" w:hAnsi="Times New Roman" w:cs="Times New Roman"/>
                <w:b/>
                <w:sz w:val="24"/>
                <w:szCs w:val="24"/>
              </w:rPr>
            </w:pPr>
            <w:r w:rsidRPr="00D46DA4">
              <w:rPr>
                <w:rFonts w:ascii="Times New Roman" w:hAnsi="Times New Roman" w:cs="Times New Roman"/>
                <w:b/>
                <w:sz w:val="24"/>
                <w:szCs w:val="24"/>
              </w:rPr>
              <w:t xml:space="preserve">Non Current Liabilities </w:t>
            </w:r>
          </w:p>
        </w:tc>
        <w:tc>
          <w:tcPr>
            <w:tcW w:w="2126" w:type="dxa"/>
          </w:tcPr>
          <w:p w:rsidR="00D46DA4" w:rsidRDefault="00D46DA4" w:rsidP="00D46DA4">
            <w:pPr>
              <w:spacing w:after="120"/>
              <w:jc w:val="right"/>
              <w:rPr>
                <w:rFonts w:ascii="Times New Roman" w:hAnsi="Times New Roman" w:cs="Times New Roman"/>
                <w:sz w:val="24"/>
                <w:szCs w:val="24"/>
              </w:rPr>
            </w:pP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Long term Customers Deposits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7,500</w:t>
            </w:r>
          </w:p>
        </w:tc>
      </w:tr>
      <w:tr w:rsidR="00D46DA4" w:rsidTr="00D46DA4">
        <w:tc>
          <w:tcPr>
            <w:tcW w:w="6127" w:type="dxa"/>
          </w:tcPr>
          <w:p w:rsidR="00D46DA4" w:rsidRPr="00D46DA4" w:rsidRDefault="00D46DA4" w:rsidP="00D46DA4">
            <w:pPr>
              <w:spacing w:after="120"/>
              <w:rPr>
                <w:rFonts w:ascii="Times New Roman" w:hAnsi="Times New Roman" w:cs="Times New Roman"/>
                <w:b/>
                <w:sz w:val="24"/>
                <w:szCs w:val="24"/>
              </w:rPr>
            </w:pPr>
            <w:r w:rsidRPr="00D46DA4">
              <w:rPr>
                <w:rFonts w:ascii="Times New Roman" w:hAnsi="Times New Roman" w:cs="Times New Roman"/>
                <w:b/>
                <w:sz w:val="24"/>
                <w:szCs w:val="24"/>
              </w:rPr>
              <w:t xml:space="preserve">Current liabilities </w:t>
            </w:r>
          </w:p>
        </w:tc>
        <w:tc>
          <w:tcPr>
            <w:tcW w:w="2126" w:type="dxa"/>
          </w:tcPr>
          <w:p w:rsidR="00D46DA4" w:rsidRDefault="00D46DA4" w:rsidP="00D46DA4">
            <w:pPr>
              <w:spacing w:after="120"/>
              <w:jc w:val="right"/>
              <w:rPr>
                <w:rFonts w:ascii="Times New Roman" w:hAnsi="Times New Roman" w:cs="Times New Roman"/>
                <w:sz w:val="24"/>
                <w:szCs w:val="24"/>
              </w:rPr>
            </w:pP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Trade creditors (Customer Deposit)</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5,500</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Other Trade Creditors </w:t>
            </w:r>
          </w:p>
        </w:tc>
        <w:tc>
          <w:tcPr>
            <w:tcW w:w="2126" w:type="dxa"/>
          </w:tcPr>
          <w:p w:rsidR="00D46DA4" w:rsidRDefault="00D46DA4" w:rsidP="00D46DA4">
            <w:pPr>
              <w:spacing w:after="120"/>
              <w:jc w:val="right"/>
              <w:rPr>
                <w:rFonts w:ascii="Times New Roman" w:hAnsi="Times New Roman" w:cs="Times New Roman"/>
                <w:sz w:val="24"/>
                <w:szCs w:val="24"/>
              </w:rPr>
            </w:pPr>
            <w:r>
              <w:rPr>
                <w:rFonts w:ascii="Times New Roman" w:hAnsi="Times New Roman" w:cs="Times New Roman"/>
                <w:sz w:val="24"/>
                <w:szCs w:val="24"/>
              </w:rPr>
              <w:t>314</w:t>
            </w:r>
          </w:p>
        </w:tc>
      </w:tr>
      <w:tr w:rsidR="00D46DA4" w:rsidTr="00D46DA4">
        <w:tc>
          <w:tcPr>
            <w:tcW w:w="6127" w:type="dxa"/>
          </w:tcPr>
          <w:p w:rsidR="00D46DA4" w:rsidRDefault="00D46DA4" w:rsidP="00D46DA4">
            <w:pPr>
              <w:spacing w:after="120"/>
              <w:rPr>
                <w:rFonts w:ascii="Times New Roman" w:hAnsi="Times New Roman" w:cs="Times New Roman"/>
                <w:sz w:val="24"/>
                <w:szCs w:val="24"/>
              </w:rPr>
            </w:pPr>
            <w:r>
              <w:rPr>
                <w:rFonts w:ascii="Times New Roman" w:hAnsi="Times New Roman" w:cs="Times New Roman"/>
                <w:sz w:val="24"/>
                <w:szCs w:val="24"/>
              </w:rPr>
              <w:t xml:space="preserve">Total Shareholders’ funds &amp; liabilities </w:t>
            </w:r>
          </w:p>
        </w:tc>
        <w:tc>
          <w:tcPr>
            <w:tcW w:w="2126" w:type="dxa"/>
          </w:tcPr>
          <w:p w:rsidR="00D46DA4" w:rsidRDefault="00D46DA4" w:rsidP="00D46DA4">
            <w:pPr>
              <w:spacing w:after="120"/>
              <w:jc w:val="right"/>
              <w:rPr>
                <w:rFonts w:ascii="Times New Roman" w:hAnsi="Times New Roman" w:cs="Times New Roman"/>
                <w:sz w:val="24"/>
                <w:szCs w:val="24"/>
              </w:rPr>
            </w:pPr>
            <w:r w:rsidRPr="00D46DA4">
              <w:rPr>
                <w:rFonts w:ascii="Times New Roman" w:hAnsi="Times New Roman" w:cs="Times New Roman"/>
                <w:position w:val="-18"/>
                <w:sz w:val="24"/>
                <w:szCs w:val="24"/>
              </w:rPr>
              <w:object w:dxaOrig="700" w:dyaOrig="460">
                <v:shape id="_x0000_i1026" type="#_x0000_t75" style="width:35.25pt;height:23.25pt" o:ole="">
                  <v:imagedata r:id="rId13" o:title=""/>
                </v:shape>
                <o:OLEObject Type="Embed" ProgID="Equation.3" ShapeID="_x0000_i1026" DrawAspect="Content" ObjectID="_1520842932" r:id="rId14"/>
              </w:object>
            </w:r>
          </w:p>
        </w:tc>
      </w:tr>
    </w:tbl>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Pr="00D46DA4" w:rsidRDefault="00D46DA4" w:rsidP="00D46DA4"/>
    <w:p w:rsidR="00D46DA4" w:rsidRPr="00D46DA4" w:rsidRDefault="00D46DA4" w:rsidP="00D46DA4"/>
    <w:p w:rsidR="00D46DA4" w:rsidRPr="00D46DA4" w:rsidRDefault="00D46DA4" w:rsidP="00D46DA4"/>
    <w:p w:rsidR="00D46DA4" w:rsidRPr="00D46DA4" w:rsidRDefault="00D46DA4" w:rsidP="00D46DA4"/>
    <w:p w:rsidR="00D46DA4" w:rsidRPr="00D46DA4" w:rsidRDefault="00D46DA4" w:rsidP="00D46DA4"/>
    <w:p w:rsidR="00D46DA4" w:rsidRPr="00D46DA4" w:rsidRDefault="00D46DA4" w:rsidP="00D46DA4"/>
    <w:p w:rsidR="00D46DA4" w:rsidRPr="00D46DA4" w:rsidRDefault="00D46DA4" w:rsidP="00D46DA4"/>
    <w:p w:rsidR="00D46DA4" w:rsidRPr="00D46DA4" w:rsidRDefault="00D46DA4" w:rsidP="00D46DA4"/>
    <w:p w:rsidR="00D46DA4" w:rsidRPr="00D46DA4" w:rsidRDefault="00D46DA4" w:rsidP="00D46DA4"/>
    <w:p w:rsidR="00D46DA4" w:rsidRPr="00D46DA4" w:rsidRDefault="00D46DA4" w:rsidP="00D46DA4"/>
    <w:p w:rsidR="00D46DA4" w:rsidRPr="00D46DA4" w:rsidRDefault="00D46DA4" w:rsidP="00D46DA4"/>
    <w:p w:rsidR="00D46DA4" w:rsidRPr="00D46DA4" w:rsidRDefault="00D46DA4" w:rsidP="00D46DA4"/>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Default="00D46DA4" w:rsidP="00D46DA4">
      <w:pPr>
        <w:pStyle w:val="ListParagraph"/>
        <w:spacing w:after="120" w:line="240" w:lineRule="auto"/>
        <w:rPr>
          <w:rFonts w:ascii="Times New Roman" w:hAnsi="Times New Roman" w:cs="Times New Roman"/>
          <w:sz w:val="24"/>
          <w:szCs w:val="24"/>
        </w:rPr>
      </w:pPr>
    </w:p>
    <w:p w:rsidR="00D46DA4" w:rsidRPr="008F2E85" w:rsidRDefault="00D46DA4" w:rsidP="00463A75">
      <w:pPr>
        <w:pStyle w:val="ListParagraph"/>
        <w:spacing w:after="120" w:line="360" w:lineRule="auto"/>
        <w:rPr>
          <w:rFonts w:ascii="Times New Roman" w:hAnsi="Times New Roman" w:cs="Times New Roman"/>
          <w:b/>
          <w:sz w:val="24"/>
          <w:szCs w:val="24"/>
        </w:rPr>
      </w:pPr>
      <w:r w:rsidRPr="008F2E85">
        <w:rPr>
          <w:rFonts w:ascii="Times New Roman" w:hAnsi="Times New Roman" w:cs="Times New Roman"/>
          <w:b/>
          <w:sz w:val="24"/>
          <w:szCs w:val="24"/>
        </w:rPr>
        <w:lastRenderedPageBreak/>
        <w:t>Required:</w:t>
      </w:r>
    </w:p>
    <w:p w:rsidR="00D46DA4" w:rsidRPr="008F2E85" w:rsidRDefault="00D46DA4" w:rsidP="008F2E85">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disclosures that the reporting directors (“accountants”) should make with regard to </w:t>
      </w:r>
    </w:p>
    <w:p w:rsidR="00D46DA4" w:rsidRDefault="00D46DA4" w:rsidP="007B2AC7">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Current assets of sasa ltd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D46DA4" w:rsidRDefault="00D46DA4" w:rsidP="007B2AC7">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Liabilities of Sasa Ltd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D46DA4" w:rsidRDefault="00D46DA4" w:rsidP="007B2AC7">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Firm’s Risk exposure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D46DA4" w:rsidRDefault="00D46DA4" w:rsidP="007B2AC7">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limitations of substance over form theoretical concepts of accounting  </w:t>
      </w:r>
    </w:p>
    <w:p w:rsidR="00D46DA4" w:rsidRDefault="00D46DA4" w:rsidP="00463A75">
      <w:pPr>
        <w:pStyle w:val="ListParagraph"/>
        <w:spacing w:after="120" w:line="360" w:lineRule="auto"/>
        <w:ind w:left="7200" w:firstLine="720"/>
        <w:rPr>
          <w:rFonts w:ascii="Times New Roman" w:hAnsi="Times New Roman" w:cs="Times New Roman"/>
          <w:sz w:val="24"/>
          <w:szCs w:val="24"/>
        </w:rPr>
      </w:pPr>
      <w:r>
        <w:rPr>
          <w:rFonts w:ascii="Times New Roman" w:hAnsi="Times New Roman" w:cs="Times New Roman"/>
          <w:sz w:val="24"/>
          <w:szCs w:val="24"/>
        </w:rPr>
        <w:t>(3 marks)</w:t>
      </w:r>
    </w:p>
    <w:p w:rsidR="00D46DA4" w:rsidRDefault="00D46DA4" w:rsidP="007B2AC7">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other measures that governments and stakeholders can make enhance and foster higher financial reporting utility on accounts and financial statements of banks and firms in the financial sectors of the African Economies.  (5 marks) </w:t>
      </w:r>
    </w:p>
    <w:p w:rsidR="00D46DA4" w:rsidRDefault="006611B5" w:rsidP="007B2AC7">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Highlight the merits of quali</w:t>
      </w:r>
      <w:r w:rsidR="00D46DA4">
        <w:rPr>
          <w:rFonts w:ascii="Times New Roman" w:hAnsi="Times New Roman" w:cs="Times New Roman"/>
          <w:sz w:val="24"/>
          <w:szCs w:val="24"/>
        </w:rPr>
        <w:t xml:space="preserve">ty accounting and financial information to the markets  </w:t>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D46DA4">
        <w:rPr>
          <w:rFonts w:ascii="Times New Roman" w:hAnsi="Times New Roman" w:cs="Times New Roman"/>
          <w:sz w:val="24"/>
          <w:szCs w:val="24"/>
        </w:rPr>
        <w:t>(4 marks)</w:t>
      </w:r>
    </w:p>
    <w:p w:rsidR="00D46DA4" w:rsidRPr="00463A75" w:rsidRDefault="00D46DA4" w:rsidP="00463A75">
      <w:pPr>
        <w:spacing w:after="120" w:line="360" w:lineRule="auto"/>
        <w:rPr>
          <w:rFonts w:ascii="Times New Roman" w:hAnsi="Times New Roman" w:cs="Times New Roman"/>
          <w:b/>
          <w:sz w:val="24"/>
          <w:szCs w:val="24"/>
        </w:rPr>
      </w:pPr>
      <w:r w:rsidRPr="00463A75">
        <w:rPr>
          <w:rFonts w:ascii="Times New Roman" w:hAnsi="Times New Roman" w:cs="Times New Roman"/>
          <w:b/>
          <w:sz w:val="24"/>
          <w:szCs w:val="24"/>
        </w:rPr>
        <w:t>QUESTION TWO (20 MARKS)</w:t>
      </w:r>
    </w:p>
    <w:p w:rsidR="00D46DA4" w:rsidRDefault="00D46DA4" w:rsidP="007B2AC7">
      <w:pPr>
        <w:pStyle w:val="ListParagraph"/>
        <w:numPr>
          <w:ilvl w:val="0"/>
          <w:numId w:val="5"/>
        </w:numPr>
        <w:spacing w:after="120" w:line="360" w:lineRule="auto"/>
        <w:rPr>
          <w:rFonts w:ascii="Times New Roman" w:hAnsi="Times New Roman" w:cs="Times New Roman"/>
          <w:sz w:val="24"/>
          <w:szCs w:val="24"/>
        </w:rPr>
      </w:pPr>
    </w:p>
    <w:p w:rsidR="00D46DA4" w:rsidRDefault="00D46DA4" w:rsidP="007B2AC7">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two elements of a financial statement.  </w:t>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Pr>
          <w:rFonts w:ascii="Times New Roman" w:hAnsi="Times New Roman" w:cs="Times New Roman"/>
          <w:sz w:val="24"/>
          <w:szCs w:val="24"/>
        </w:rPr>
        <w:t>(3 marks)</w:t>
      </w:r>
    </w:p>
    <w:p w:rsidR="00533925" w:rsidRDefault="00463A75" w:rsidP="007B2AC7">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Illustrate</w:t>
      </w:r>
      <w:r w:rsidR="00D46DA4">
        <w:rPr>
          <w:rFonts w:ascii="Times New Roman" w:hAnsi="Times New Roman" w:cs="Times New Roman"/>
          <w:sz w:val="24"/>
          <w:szCs w:val="24"/>
        </w:rPr>
        <w:t>, analytically, how the concept of time interval, accrual, business entity and the going concern may have contribut4e</w:t>
      </w:r>
      <w:r>
        <w:rPr>
          <w:rFonts w:ascii="Times New Roman" w:hAnsi="Times New Roman" w:cs="Times New Roman"/>
          <w:sz w:val="24"/>
          <w:szCs w:val="24"/>
        </w:rPr>
        <w:t>d to the classification of non-</w:t>
      </w:r>
      <w:r w:rsidR="00D46DA4">
        <w:rPr>
          <w:rFonts w:ascii="Times New Roman" w:hAnsi="Times New Roman" w:cs="Times New Roman"/>
          <w:sz w:val="24"/>
          <w:szCs w:val="24"/>
        </w:rPr>
        <w:t xml:space="preserve">current and current assets and liabilities, working capital and permanent capital in an enterprise.  </w:t>
      </w:r>
    </w:p>
    <w:p w:rsidR="00D46DA4" w:rsidRDefault="00D46DA4" w:rsidP="00533925">
      <w:pPr>
        <w:pStyle w:val="ListParagraph"/>
        <w:spacing w:after="120" w:line="360" w:lineRule="auto"/>
        <w:ind w:left="7605" w:firstLine="315"/>
        <w:rPr>
          <w:rFonts w:ascii="Times New Roman" w:hAnsi="Times New Roman" w:cs="Times New Roman"/>
          <w:sz w:val="24"/>
          <w:szCs w:val="24"/>
        </w:rPr>
      </w:pPr>
      <w:r>
        <w:rPr>
          <w:rFonts w:ascii="Times New Roman" w:hAnsi="Times New Roman" w:cs="Times New Roman"/>
          <w:sz w:val="24"/>
          <w:szCs w:val="24"/>
        </w:rPr>
        <w:t xml:space="preserve">(6 marks) </w:t>
      </w:r>
    </w:p>
    <w:p w:rsidR="00D46DA4" w:rsidRDefault="00463A75" w:rsidP="007B2AC7">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at least three approaches that have been used in the development of accounting theories </w:t>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sidR="00533925">
        <w:rPr>
          <w:rFonts w:ascii="Times New Roman" w:hAnsi="Times New Roman" w:cs="Times New Roman"/>
          <w:sz w:val="24"/>
          <w:szCs w:val="24"/>
        </w:rPr>
        <w:tab/>
      </w:r>
      <w:r>
        <w:rPr>
          <w:rFonts w:ascii="Times New Roman" w:hAnsi="Times New Roman" w:cs="Times New Roman"/>
          <w:sz w:val="24"/>
          <w:szCs w:val="24"/>
        </w:rPr>
        <w:t>(6 marks)</w:t>
      </w:r>
    </w:p>
    <w:p w:rsidR="00463A75" w:rsidRDefault="00463A75" w:rsidP="007B2AC7">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Elucidate the role of Auditing theory, agency theory and legimate theory on the development and advancement of accounting as a discipline of study and practice.  </w:t>
      </w:r>
      <w:r w:rsidR="00533925">
        <w:rPr>
          <w:rFonts w:ascii="Times New Roman" w:hAnsi="Times New Roman" w:cs="Times New Roman"/>
          <w:sz w:val="24"/>
          <w:szCs w:val="24"/>
        </w:rPr>
        <w:tab/>
      </w:r>
      <w:r w:rsidR="00533925">
        <w:rPr>
          <w:rFonts w:ascii="Times New Roman" w:hAnsi="Times New Roman" w:cs="Times New Roman"/>
          <w:sz w:val="24"/>
          <w:szCs w:val="24"/>
        </w:rPr>
        <w:tab/>
      </w:r>
      <w:r>
        <w:rPr>
          <w:rFonts w:ascii="Times New Roman" w:hAnsi="Times New Roman" w:cs="Times New Roman"/>
          <w:sz w:val="24"/>
          <w:szCs w:val="24"/>
        </w:rPr>
        <w:t xml:space="preserve">(3 marks) </w:t>
      </w:r>
    </w:p>
    <w:p w:rsidR="00533925" w:rsidRPr="008F2E85" w:rsidRDefault="00533925" w:rsidP="00533925">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some of the challenges that accountants may face in practice in applying the consistency concept on financial transactions accounting and reporting  </w:t>
      </w:r>
      <w:r>
        <w:rPr>
          <w:rFonts w:ascii="Times New Roman" w:hAnsi="Times New Roman" w:cs="Times New Roman"/>
          <w:sz w:val="24"/>
          <w:szCs w:val="24"/>
        </w:rPr>
        <w:tab/>
        <w:t xml:space="preserve">(2 marks) </w:t>
      </w:r>
    </w:p>
    <w:p w:rsidR="00533925" w:rsidRPr="00533925" w:rsidRDefault="00533925" w:rsidP="006A21BC">
      <w:pPr>
        <w:spacing w:after="120"/>
        <w:rPr>
          <w:rFonts w:ascii="Times New Roman" w:hAnsi="Times New Roman" w:cs="Times New Roman"/>
          <w:b/>
          <w:sz w:val="24"/>
          <w:szCs w:val="24"/>
        </w:rPr>
      </w:pPr>
      <w:r w:rsidRPr="00533925">
        <w:rPr>
          <w:rFonts w:ascii="Times New Roman" w:hAnsi="Times New Roman" w:cs="Times New Roman"/>
          <w:b/>
          <w:sz w:val="24"/>
          <w:szCs w:val="24"/>
        </w:rPr>
        <w:t>QUESTION THREE (20 MARKS)</w:t>
      </w:r>
    </w:p>
    <w:p w:rsidR="00533925" w:rsidRDefault="00533925" w:rsidP="006A21BC">
      <w:pPr>
        <w:spacing w:after="120"/>
        <w:rPr>
          <w:rFonts w:ascii="Times New Roman" w:hAnsi="Times New Roman" w:cs="Times New Roman"/>
          <w:sz w:val="24"/>
          <w:szCs w:val="24"/>
        </w:rPr>
      </w:pPr>
      <w:r>
        <w:rPr>
          <w:rFonts w:ascii="Times New Roman" w:hAnsi="Times New Roman" w:cs="Times New Roman"/>
          <w:sz w:val="24"/>
          <w:szCs w:val="24"/>
        </w:rPr>
        <w:t>It is generally agreed that sales revenue should only be ‘realized’ and so ‘recognized’ in the trading, profit and loss account when:</w:t>
      </w:r>
    </w:p>
    <w:p w:rsidR="00533925" w:rsidRDefault="00533925" w:rsidP="007B2AC7">
      <w:pPr>
        <w:pStyle w:val="ListParagraph"/>
        <w:numPr>
          <w:ilvl w:val="0"/>
          <w:numId w:val="7"/>
        </w:numPr>
        <w:spacing w:after="120"/>
        <w:rPr>
          <w:rFonts w:ascii="Times New Roman" w:hAnsi="Times New Roman" w:cs="Times New Roman"/>
          <w:sz w:val="24"/>
          <w:szCs w:val="24"/>
        </w:rPr>
      </w:pPr>
      <w:r>
        <w:rPr>
          <w:rFonts w:ascii="Times New Roman" w:hAnsi="Times New Roman" w:cs="Times New Roman"/>
          <w:sz w:val="24"/>
          <w:szCs w:val="24"/>
        </w:rPr>
        <w:t xml:space="preserve">When a cash sale is made.  </w:t>
      </w:r>
    </w:p>
    <w:p w:rsidR="00533925" w:rsidRDefault="00533925" w:rsidP="007B2AC7">
      <w:pPr>
        <w:pStyle w:val="ListParagraph"/>
        <w:numPr>
          <w:ilvl w:val="0"/>
          <w:numId w:val="7"/>
        </w:num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The customer promises to pay on or before a specified future date, and the debt is legally enforceable. </w:t>
      </w:r>
    </w:p>
    <w:p w:rsidR="00533925" w:rsidRDefault="00533925" w:rsidP="006A21BC">
      <w:pPr>
        <w:spacing w:after="120"/>
        <w:ind w:left="360"/>
        <w:rPr>
          <w:rFonts w:ascii="Times New Roman" w:hAnsi="Times New Roman" w:cs="Times New Roman"/>
          <w:sz w:val="24"/>
          <w:szCs w:val="24"/>
        </w:rPr>
      </w:pPr>
      <w:r>
        <w:rPr>
          <w:rFonts w:ascii="Times New Roman" w:hAnsi="Times New Roman" w:cs="Times New Roman"/>
          <w:sz w:val="24"/>
          <w:szCs w:val="24"/>
        </w:rPr>
        <w:t>The prudence concept is applied here in the sense that revenue should not be anticipated, and included in the trading, profit and loss account, before it is reasonably certain to ‘happen’.</w:t>
      </w:r>
    </w:p>
    <w:p w:rsidR="00533925" w:rsidRPr="006A21BC" w:rsidRDefault="00533925" w:rsidP="006A21BC">
      <w:pPr>
        <w:spacing w:after="120"/>
        <w:ind w:left="360"/>
        <w:rPr>
          <w:rFonts w:ascii="Times New Roman" w:hAnsi="Times New Roman" w:cs="Times New Roman"/>
          <w:b/>
          <w:sz w:val="24"/>
          <w:szCs w:val="24"/>
        </w:rPr>
      </w:pPr>
      <w:r w:rsidRPr="006A21BC">
        <w:rPr>
          <w:rFonts w:ascii="Times New Roman" w:hAnsi="Times New Roman" w:cs="Times New Roman"/>
          <w:b/>
          <w:sz w:val="24"/>
          <w:szCs w:val="24"/>
        </w:rPr>
        <w:t>Required:</w:t>
      </w:r>
    </w:p>
    <w:p w:rsidR="00533925" w:rsidRDefault="00533925" w:rsidP="006A21BC">
      <w:pPr>
        <w:spacing w:after="120"/>
        <w:ind w:left="360"/>
        <w:rPr>
          <w:rFonts w:ascii="Times New Roman" w:hAnsi="Times New Roman" w:cs="Times New Roman"/>
          <w:sz w:val="24"/>
          <w:szCs w:val="24"/>
        </w:rPr>
      </w:pPr>
      <w:r>
        <w:rPr>
          <w:rFonts w:ascii="Times New Roman" w:hAnsi="Times New Roman" w:cs="Times New Roman"/>
          <w:sz w:val="24"/>
          <w:szCs w:val="24"/>
        </w:rPr>
        <w:t xml:space="preserve">Given that prudence is the main consideration, discuss under what circumstances, if any, revenue might be recognized at the following stages of a sale.  </w:t>
      </w:r>
    </w:p>
    <w:p w:rsidR="00533925" w:rsidRDefault="00533925" w:rsidP="007B2AC7">
      <w:pPr>
        <w:pStyle w:val="ListParagraph"/>
        <w:numPr>
          <w:ilvl w:val="0"/>
          <w:numId w:val="8"/>
        </w:numPr>
        <w:spacing w:after="120"/>
        <w:rPr>
          <w:rFonts w:ascii="Times New Roman" w:hAnsi="Times New Roman" w:cs="Times New Roman"/>
          <w:sz w:val="24"/>
          <w:szCs w:val="24"/>
        </w:rPr>
      </w:pPr>
      <w:r>
        <w:rPr>
          <w:rFonts w:ascii="Times New Roman" w:hAnsi="Times New Roman" w:cs="Times New Roman"/>
          <w:sz w:val="24"/>
          <w:szCs w:val="24"/>
        </w:rPr>
        <w:t>Goods have been acquired by the business, which it confidently expects to resell very quickly.</w:t>
      </w:r>
    </w:p>
    <w:p w:rsidR="00533925" w:rsidRDefault="00533925" w:rsidP="007B2AC7">
      <w:pPr>
        <w:pStyle w:val="ListParagraph"/>
        <w:numPr>
          <w:ilvl w:val="0"/>
          <w:numId w:val="8"/>
        </w:numPr>
        <w:spacing w:after="120"/>
        <w:rPr>
          <w:rFonts w:ascii="Times New Roman" w:hAnsi="Times New Roman" w:cs="Times New Roman"/>
          <w:sz w:val="24"/>
          <w:szCs w:val="24"/>
        </w:rPr>
      </w:pPr>
      <w:r>
        <w:rPr>
          <w:rFonts w:ascii="Times New Roman" w:hAnsi="Times New Roman" w:cs="Times New Roman"/>
          <w:sz w:val="24"/>
          <w:szCs w:val="24"/>
        </w:rPr>
        <w:t xml:space="preserve">A customer places a firm order for goods. </w:t>
      </w:r>
    </w:p>
    <w:p w:rsidR="00533925" w:rsidRDefault="00533925" w:rsidP="007B2AC7">
      <w:pPr>
        <w:pStyle w:val="ListParagraph"/>
        <w:numPr>
          <w:ilvl w:val="0"/>
          <w:numId w:val="8"/>
        </w:numPr>
        <w:spacing w:after="120"/>
        <w:rPr>
          <w:rFonts w:ascii="Times New Roman" w:hAnsi="Times New Roman" w:cs="Times New Roman"/>
          <w:sz w:val="24"/>
          <w:szCs w:val="24"/>
        </w:rPr>
      </w:pPr>
      <w:r>
        <w:rPr>
          <w:rFonts w:ascii="Times New Roman" w:hAnsi="Times New Roman" w:cs="Times New Roman"/>
          <w:sz w:val="24"/>
          <w:szCs w:val="24"/>
        </w:rPr>
        <w:t xml:space="preserve">Goods are delivered to the customer. </w:t>
      </w:r>
    </w:p>
    <w:p w:rsidR="00533925" w:rsidRDefault="00533925" w:rsidP="007B2AC7">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customer is invoiced for goods. </w:t>
      </w:r>
    </w:p>
    <w:p w:rsidR="00533925" w:rsidRDefault="00533925" w:rsidP="007B2AC7">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customer pays for the goods. </w:t>
      </w:r>
    </w:p>
    <w:p w:rsidR="00A01703" w:rsidRPr="006A21BC" w:rsidRDefault="00533925" w:rsidP="007B2AC7">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customer’s cheque in payment for the goods has been cleared by the bank. </w:t>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00380CE6">
        <w:rPr>
          <w:rFonts w:ascii="Times New Roman" w:hAnsi="Times New Roman" w:cs="Times New Roman"/>
          <w:sz w:val="24"/>
          <w:szCs w:val="24"/>
        </w:rPr>
        <w:tab/>
      </w:r>
      <w:r w:rsidRPr="006A21BC">
        <w:rPr>
          <w:rFonts w:ascii="Times New Roman" w:hAnsi="Times New Roman" w:cs="Times New Roman"/>
          <w:sz w:val="24"/>
          <w:szCs w:val="24"/>
        </w:rPr>
        <w:t xml:space="preserve">(20 marks) </w:t>
      </w:r>
    </w:p>
    <w:p w:rsidR="00A01703" w:rsidRPr="006A21BC" w:rsidRDefault="00A01703" w:rsidP="00A01703">
      <w:pPr>
        <w:spacing w:after="120" w:line="360" w:lineRule="auto"/>
        <w:rPr>
          <w:rFonts w:ascii="Times New Roman" w:hAnsi="Times New Roman" w:cs="Times New Roman"/>
          <w:b/>
          <w:sz w:val="24"/>
          <w:szCs w:val="24"/>
        </w:rPr>
      </w:pPr>
      <w:r w:rsidRPr="006A21BC">
        <w:rPr>
          <w:rFonts w:ascii="Times New Roman" w:hAnsi="Times New Roman" w:cs="Times New Roman"/>
          <w:b/>
          <w:sz w:val="24"/>
          <w:szCs w:val="24"/>
        </w:rPr>
        <w:t>QUESTION FOUR (20 MARKS)</w:t>
      </w:r>
    </w:p>
    <w:p w:rsidR="00A01703" w:rsidRDefault="00A01703" w:rsidP="00A01703">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Mauzo Ltd engages in real estate business owning only one property.  The company’s main income is rental income. </w:t>
      </w:r>
    </w:p>
    <w:p w:rsidR="00A01703" w:rsidRDefault="00A01703" w:rsidP="00A01703">
      <w:pPr>
        <w:spacing w:after="120" w:line="360" w:lineRule="auto"/>
        <w:rPr>
          <w:rFonts w:ascii="Times New Roman" w:hAnsi="Times New Roman" w:cs="Times New Roman"/>
          <w:sz w:val="24"/>
          <w:szCs w:val="24"/>
        </w:rPr>
      </w:pPr>
      <w:r>
        <w:rPr>
          <w:rFonts w:ascii="Times New Roman" w:hAnsi="Times New Roman" w:cs="Times New Roman"/>
          <w:sz w:val="24"/>
          <w:szCs w:val="24"/>
        </w:rPr>
        <w:t>The balance sheet of the company as at the end of the year 1 and year 2 is as follows:</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1881"/>
        <w:gridCol w:w="1804"/>
      </w:tblGrid>
      <w:tr w:rsidR="006A21BC" w:rsidTr="006A21BC">
        <w:tc>
          <w:tcPr>
            <w:tcW w:w="3119" w:type="dxa"/>
          </w:tcPr>
          <w:p w:rsidR="006A21BC" w:rsidRDefault="006A21BC" w:rsidP="006A21BC">
            <w:pPr>
              <w:spacing w:after="120"/>
              <w:rPr>
                <w:rFonts w:ascii="Times New Roman" w:hAnsi="Times New Roman" w:cs="Times New Roman"/>
                <w:sz w:val="24"/>
                <w:szCs w:val="24"/>
              </w:rPr>
            </w:pPr>
          </w:p>
        </w:tc>
        <w:tc>
          <w:tcPr>
            <w:tcW w:w="1881" w:type="dxa"/>
          </w:tcPr>
          <w:p w:rsidR="006A21BC" w:rsidRPr="006A21BC" w:rsidRDefault="006A21BC" w:rsidP="006A21BC">
            <w:pPr>
              <w:spacing w:after="120"/>
              <w:jc w:val="right"/>
              <w:rPr>
                <w:rFonts w:ascii="Times New Roman" w:hAnsi="Times New Roman" w:cs="Times New Roman"/>
                <w:b/>
                <w:sz w:val="24"/>
                <w:szCs w:val="24"/>
              </w:rPr>
            </w:pPr>
            <w:r w:rsidRPr="006A21BC">
              <w:rPr>
                <w:rFonts w:ascii="Times New Roman" w:hAnsi="Times New Roman" w:cs="Times New Roman"/>
                <w:b/>
                <w:sz w:val="24"/>
                <w:szCs w:val="24"/>
              </w:rPr>
              <w:t>Year 1</w:t>
            </w:r>
          </w:p>
        </w:tc>
        <w:tc>
          <w:tcPr>
            <w:tcW w:w="1804" w:type="dxa"/>
          </w:tcPr>
          <w:p w:rsidR="006A21BC" w:rsidRPr="006A21BC" w:rsidRDefault="006A21BC" w:rsidP="006A21BC">
            <w:pPr>
              <w:spacing w:after="120"/>
              <w:jc w:val="right"/>
              <w:rPr>
                <w:rFonts w:ascii="Times New Roman" w:hAnsi="Times New Roman" w:cs="Times New Roman"/>
                <w:b/>
                <w:sz w:val="24"/>
                <w:szCs w:val="24"/>
              </w:rPr>
            </w:pPr>
            <w:r w:rsidRPr="006A21BC">
              <w:rPr>
                <w:rFonts w:ascii="Times New Roman" w:hAnsi="Times New Roman" w:cs="Times New Roman"/>
                <w:b/>
                <w:sz w:val="24"/>
                <w:szCs w:val="24"/>
              </w:rPr>
              <w:t>Year 2</w:t>
            </w:r>
          </w:p>
        </w:tc>
      </w:tr>
      <w:tr w:rsidR="006A21BC" w:rsidTr="006A21BC">
        <w:tc>
          <w:tcPr>
            <w:tcW w:w="3119" w:type="dxa"/>
          </w:tcPr>
          <w:p w:rsidR="006A21BC" w:rsidRDefault="006A21BC" w:rsidP="006A21BC">
            <w:pPr>
              <w:spacing w:after="120"/>
              <w:rPr>
                <w:rFonts w:ascii="Times New Roman" w:hAnsi="Times New Roman" w:cs="Times New Roman"/>
                <w:sz w:val="24"/>
                <w:szCs w:val="24"/>
              </w:rPr>
            </w:pPr>
          </w:p>
        </w:tc>
        <w:tc>
          <w:tcPr>
            <w:tcW w:w="1881" w:type="dxa"/>
          </w:tcPr>
          <w:p w:rsidR="006A21BC" w:rsidRPr="006A21BC" w:rsidRDefault="006A21BC" w:rsidP="006A21BC">
            <w:pPr>
              <w:spacing w:after="120"/>
              <w:jc w:val="right"/>
              <w:rPr>
                <w:rFonts w:ascii="Times New Roman" w:hAnsi="Times New Roman" w:cs="Times New Roman"/>
                <w:b/>
                <w:sz w:val="24"/>
                <w:szCs w:val="24"/>
              </w:rPr>
            </w:pPr>
            <w:r w:rsidRPr="006A21BC">
              <w:rPr>
                <w:rFonts w:ascii="Times New Roman" w:hAnsi="Times New Roman" w:cs="Times New Roman"/>
                <w:b/>
                <w:sz w:val="24"/>
                <w:szCs w:val="24"/>
              </w:rPr>
              <w:t>Kshs</w:t>
            </w:r>
          </w:p>
        </w:tc>
        <w:tc>
          <w:tcPr>
            <w:tcW w:w="1804" w:type="dxa"/>
          </w:tcPr>
          <w:p w:rsidR="006A21BC" w:rsidRPr="006A21BC" w:rsidRDefault="006A21BC" w:rsidP="006A21BC">
            <w:pPr>
              <w:spacing w:after="120"/>
              <w:jc w:val="right"/>
              <w:rPr>
                <w:rFonts w:ascii="Times New Roman" w:hAnsi="Times New Roman" w:cs="Times New Roman"/>
                <w:b/>
                <w:sz w:val="24"/>
                <w:szCs w:val="24"/>
              </w:rPr>
            </w:pPr>
            <w:r w:rsidRPr="006A21BC">
              <w:rPr>
                <w:rFonts w:ascii="Times New Roman" w:hAnsi="Times New Roman" w:cs="Times New Roman"/>
                <w:b/>
                <w:sz w:val="24"/>
                <w:szCs w:val="24"/>
              </w:rPr>
              <w:t>Kshs</w:t>
            </w:r>
          </w:p>
        </w:tc>
      </w:tr>
      <w:tr w:rsidR="006A21BC" w:rsidTr="006A21BC">
        <w:tc>
          <w:tcPr>
            <w:tcW w:w="3119" w:type="dxa"/>
          </w:tcPr>
          <w:p w:rsidR="006A21BC" w:rsidRDefault="006A21BC" w:rsidP="006A21BC">
            <w:pPr>
              <w:spacing w:after="120"/>
              <w:rPr>
                <w:rFonts w:ascii="Times New Roman" w:hAnsi="Times New Roman" w:cs="Times New Roman"/>
                <w:sz w:val="24"/>
                <w:szCs w:val="24"/>
              </w:rPr>
            </w:pPr>
            <w:r>
              <w:rPr>
                <w:rFonts w:ascii="Times New Roman" w:hAnsi="Times New Roman" w:cs="Times New Roman"/>
                <w:sz w:val="24"/>
                <w:szCs w:val="24"/>
              </w:rPr>
              <w:t xml:space="preserve">Assets </w:t>
            </w:r>
          </w:p>
        </w:tc>
        <w:tc>
          <w:tcPr>
            <w:tcW w:w="1881" w:type="dxa"/>
          </w:tcPr>
          <w:p w:rsidR="006A21BC" w:rsidRDefault="006A21BC" w:rsidP="006A21BC">
            <w:pPr>
              <w:spacing w:after="120"/>
              <w:jc w:val="right"/>
              <w:rPr>
                <w:rFonts w:ascii="Times New Roman" w:hAnsi="Times New Roman" w:cs="Times New Roman"/>
                <w:sz w:val="24"/>
                <w:szCs w:val="24"/>
              </w:rPr>
            </w:pPr>
          </w:p>
        </w:tc>
        <w:tc>
          <w:tcPr>
            <w:tcW w:w="1804" w:type="dxa"/>
          </w:tcPr>
          <w:p w:rsidR="006A21BC" w:rsidRDefault="006A21BC" w:rsidP="006A21BC">
            <w:pPr>
              <w:spacing w:after="120"/>
              <w:jc w:val="right"/>
              <w:rPr>
                <w:rFonts w:ascii="Times New Roman" w:hAnsi="Times New Roman" w:cs="Times New Roman"/>
                <w:sz w:val="24"/>
                <w:szCs w:val="24"/>
              </w:rPr>
            </w:pPr>
          </w:p>
        </w:tc>
      </w:tr>
      <w:tr w:rsidR="006A21BC" w:rsidTr="006A21BC">
        <w:tc>
          <w:tcPr>
            <w:tcW w:w="3119" w:type="dxa"/>
          </w:tcPr>
          <w:p w:rsidR="006A21BC" w:rsidRDefault="006A21BC" w:rsidP="006A21BC">
            <w:pPr>
              <w:spacing w:after="120"/>
              <w:rPr>
                <w:rFonts w:ascii="Times New Roman" w:hAnsi="Times New Roman" w:cs="Times New Roman"/>
                <w:sz w:val="24"/>
                <w:szCs w:val="24"/>
              </w:rPr>
            </w:pPr>
            <w:r>
              <w:rPr>
                <w:rFonts w:ascii="Times New Roman" w:hAnsi="Times New Roman" w:cs="Times New Roman"/>
                <w:sz w:val="24"/>
                <w:szCs w:val="24"/>
              </w:rPr>
              <w:t>Building (net)</w:t>
            </w:r>
          </w:p>
        </w:tc>
        <w:tc>
          <w:tcPr>
            <w:tcW w:w="1881" w:type="dxa"/>
          </w:tcPr>
          <w:p w:rsidR="006A21BC" w:rsidRDefault="006A21BC" w:rsidP="006A21BC">
            <w:pPr>
              <w:spacing w:after="120"/>
              <w:jc w:val="right"/>
              <w:rPr>
                <w:rFonts w:ascii="Times New Roman" w:hAnsi="Times New Roman" w:cs="Times New Roman"/>
                <w:sz w:val="24"/>
                <w:szCs w:val="24"/>
              </w:rPr>
            </w:pPr>
            <w:r>
              <w:rPr>
                <w:rFonts w:ascii="Times New Roman" w:hAnsi="Times New Roman" w:cs="Times New Roman"/>
                <w:sz w:val="24"/>
                <w:szCs w:val="24"/>
              </w:rPr>
              <w:t>150,000</w:t>
            </w:r>
          </w:p>
        </w:tc>
        <w:tc>
          <w:tcPr>
            <w:tcW w:w="1804" w:type="dxa"/>
          </w:tcPr>
          <w:p w:rsidR="006A21BC" w:rsidRDefault="006A21BC" w:rsidP="006A21BC">
            <w:pPr>
              <w:spacing w:after="120"/>
              <w:jc w:val="right"/>
              <w:rPr>
                <w:rFonts w:ascii="Times New Roman" w:hAnsi="Times New Roman" w:cs="Times New Roman"/>
                <w:sz w:val="24"/>
                <w:szCs w:val="24"/>
              </w:rPr>
            </w:pPr>
            <w:r>
              <w:rPr>
                <w:rFonts w:ascii="Times New Roman" w:hAnsi="Times New Roman" w:cs="Times New Roman"/>
                <w:sz w:val="24"/>
                <w:szCs w:val="24"/>
              </w:rPr>
              <w:t>105,000</w:t>
            </w:r>
          </w:p>
        </w:tc>
      </w:tr>
      <w:tr w:rsidR="006A21BC" w:rsidTr="006A21BC">
        <w:tc>
          <w:tcPr>
            <w:tcW w:w="3119" w:type="dxa"/>
          </w:tcPr>
          <w:p w:rsidR="006A21BC" w:rsidRDefault="006A21BC" w:rsidP="006A21BC">
            <w:pPr>
              <w:spacing w:after="120"/>
              <w:rPr>
                <w:rFonts w:ascii="Times New Roman" w:hAnsi="Times New Roman" w:cs="Times New Roman"/>
                <w:sz w:val="24"/>
                <w:szCs w:val="24"/>
              </w:rPr>
            </w:pPr>
            <w:r>
              <w:rPr>
                <w:rFonts w:ascii="Times New Roman" w:hAnsi="Times New Roman" w:cs="Times New Roman"/>
                <w:sz w:val="24"/>
                <w:szCs w:val="24"/>
              </w:rPr>
              <w:t xml:space="preserve">Cash </w:t>
            </w:r>
          </w:p>
        </w:tc>
        <w:tc>
          <w:tcPr>
            <w:tcW w:w="1881" w:type="dxa"/>
          </w:tcPr>
          <w:p w:rsidR="006A21BC" w:rsidRDefault="006A21BC" w:rsidP="006A21BC">
            <w:pPr>
              <w:spacing w:after="120"/>
              <w:jc w:val="right"/>
              <w:rPr>
                <w:rFonts w:ascii="Times New Roman" w:hAnsi="Times New Roman" w:cs="Times New Roman"/>
                <w:sz w:val="24"/>
                <w:szCs w:val="24"/>
              </w:rPr>
            </w:pPr>
            <w:r>
              <w:rPr>
                <w:rFonts w:ascii="Times New Roman" w:hAnsi="Times New Roman" w:cs="Times New Roman"/>
                <w:sz w:val="24"/>
                <w:szCs w:val="24"/>
              </w:rPr>
              <w:t>45,000</w:t>
            </w:r>
          </w:p>
        </w:tc>
        <w:tc>
          <w:tcPr>
            <w:tcW w:w="1804" w:type="dxa"/>
          </w:tcPr>
          <w:p w:rsidR="006A21BC" w:rsidRDefault="006A21BC" w:rsidP="006A21BC">
            <w:pPr>
              <w:spacing w:after="120"/>
              <w:jc w:val="right"/>
              <w:rPr>
                <w:rFonts w:ascii="Times New Roman" w:hAnsi="Times New Roman" w:cs="Times New Roman"/>
                <w:sz w:val="24"/>
                <w:szCs w:val="24"/>
              </w:rPr>
            </w:pPr>
            <w:r>
              <w:rPr>
                <w:rFonts w:ascii="Times New Roman" w:hAnsi="Times New Roman" w:cs="Times New Roman"/>
                <w:sz w:val="24"/>
                <w:szCs w:val="24"/>
              </w:rPr>
              <w:t>90,000</w:t>
            </w:r>
          </w:p>
        </w:tc>
      </w:tr>
      <w:tr w:rsidR="006A21BC" w:rsidTr="006A21BC">
        <w:tc>
          <w:tcPr>
            <w:tcW w:w="3119" w:type="dxa"/>
          </w:tcPr>
          <w:p w:rsidR="006A21BC" w:rsidRDefault="006A21BC" w:rsidP="006A21BC">
            <w:pPr>
              <w:spacing w:after="120"/>
              <w:rPr>
                <w:rFonts w:ascii="Times New Roman" w:hAnsi="Times New Roman" w:cs="Times New Roman"/>
                <w:sz w:val="24"/>
                <w:szCs w:val="24"/>
              </w:rPr>
            </w:pPr>
          </w:p>
        </w:tc>
        <w:tc>
          <w:tcPr>
            <w:tcW w:w="1881" w:type="dxa"/>
          </w:tcPr>
          <w:p w:rsidR="006A21BC" w:rsidRDefault="00FF3072" w:rsidP="006A21BC">
            <w:pPr>
              <w:spacing w:after="120"/>
              <w:jc w:val="right"/>
              <w:rPr>
                <w:rFonts w:ascii="Times New Roman" w:hAnsi="Times New Roman" w:cs="Times New Roman"/>
                <w:sz w:val="24"/>
                <w:szCs w:val="24"/>
              </w:rPr>
            </w:pPr>
            <w:r w:rsidRPr="006A21BC">
              <w:rPr>
                <w:rFonts w:ascii="Times New Roman" w:hAnsi="Times New Roman" w:cs="Times New Roman"/>
                <w:position w:val="-10"/>
                <w:sz w:val="24"/>
                <w:szCs w:val="24"/>
              </w:rPr>
              <w:object w:dxaOrig="180" w:dyaOrig="340">
                <v:shape id="_x0000_i1027" type="#_x0000_t75" style="width:9pt;height:17.25pt" o:ole="">
                  <v:imagedata r:id="rId15" o:title=""/>
                </v:shape>
                <o:OLEObject Type="Embed" ProgID="Equation.3" ShapeID="_x0000_i1027" DrawAspect="Content" ObjectID="_1520842933" r:id="rId16"/>
              </w:object>
            </w:r>
            <w:r w:rsidRPr="006A21BC">
              <w:rPr>
                <w:rFonts w:ascii="Times New Roman" w:hAnsi="Times New Roman" w:cs="Times New Roman"/>
                <w:position w:val="-18"/>
                <w:sz w:val="24"/>
                <w:szCs w:val="24"/>
              </w:rPr>
              <w:object w:dxaOrig="720" w:dyaOrig="460">
                <v:shape id="_x0000_i1028" type="#_x0000_t75" style="width:36pt;height:23.25pt" o:ole="">
                  <v:imagedata r:id="rId17" o:title=""/>
                </v:shape>
                <o:OLEObject Type="Embed" ProgID="Equation.3" ShapeID="_x0000_i1028" DrawAspect="Content" ObjectID="_1520842934" r:id="rId18"/>
              </w:object>
            </w:r>
          </w:p>
        </w:tc>
        <w:tc>
          <w:tcPr>
            <w:tcW w:w="1804" w:type="dxa"/>
          </w:tcPr>
          <w:p w:rsidR="006A21BC" w:rsidRDefault="006A21BC" w:rsidP="006A21BC">
            <w:pPr>
              <w:spacing w:after="120"/>
              <w:jc w:val="right"/>
              <w:rPr>
                <w:rFonts w:ascii="Times New Roman" w:hAnsi="Times New Roman" w:cs="Times New Roman"/>
                <w:sz w:val="24"/>
                <w:szCs w:val="24"/>
              </w:rPr>
            </w:pPr>
            <w:r w:rsidRPr="006A21BC">
              <w:rPr>
                <w:rFonts w:ascii="Times New Roman" w:hAnsi="Times New Roman" w:cs="Times New Roman"/>
                <w:position w:val="-18"/>
                <w:sz w:val="24"/>
                <w:szCs w:val="24"/>
              </w:rPr>
              <w:object w:dxaOrig="820" w:dyaOrig="460">
                <v:shape id="_x0000_i1029" type="#_x0000_t75" style="width:41.25pt;height:23.25pt" o:ole="">
                  <v:imagedata r:id="rId19" o:title=""/>
                </v:shape>
                <o:OLEObject Type="Embed" ProgID="Equation.3" ShapeID="_x0000_i1029" DrawAspect="Content" ObjectID="_1520842935" r:id="rId20"/>
              </w:object>
            </w:r>
          </w:p>
        </w:tc>
      </w:tr>
    </w:tbl>
    <w:p w:rsidR="00FF3072" w:rsidRDefault="00FF3072" w:rsidP="006A21BC">
      <w:pPr>
        <w:spacing w:after="120" w:line="240" w:lineRule="auto"/>
        <w:rPr>
          <w:rFonts w:ascii="Times New Roman" w:hAnsi="Times New Roman" w:cs="Times New Roman"/>
          <w:sz w:val="24"/>
          <w:szCs w:val="24"/>
        </w:rPr>
      </w:pPr>
    </w:p>
    <w:p w:rsidR="00A01703" w:rsidRDefault="00FF3072" w:rsidP="006A21BC">
      <w:pPr>
        <w:spacing w:after="120" w:line="240" w:lineRule="auto"/>
        <w:rPr>
          <w:rFonts w:ascii="Times New Roman" w:hAnsi="Times New Roman" w:cs="Times New Roman"/>
          <w:sz w:val="24"/>
          <w:szCs w:val="24"/>
        </w:rPr>
      </w:pPr>
      <w:r>
        <w:rPr>
          <w:rFonts w:ascii="Times New Roman" w:hAnsi="Times New Roman" w:cs="Times New Roman"/>
          <w:sz w:val="24"/>
          <w:szCs w:val="24"/>
        </w:rPr>
        <w:t>The comparative income statements for both year 1 and year 2 are given below:</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1881"/>
        <w:gridCol w:w="1804"/>
      </w:tblGrid>
      <w:tr w:rsidR="00FF3072" w:rsidRPr="006A21BC" w:rsidTr="005E0029">
        <w:tc>
          <w:tcPr>
            <w:tcW w:w="3119" w:type="dxa"/>
          </w:tcPr>
          <w:p w:rsidR="00FF3072" w:rsidRDefault="00FF3072" w:rsidP="00FF3072">
            <w:pPr>
              <w:spacing w:after="120"/>
              <w:rPr>
                <w:rFonts w:ascii="Times New Roman" w:hAnsi="Times New Roman" w:cs="Times New Roman"/>
                <w:sz w:val="24"/>
                <w:szCs w:val="24"/>
              </w:rPr>
            </w:pPr>
          </w:p>
        </w:tc>
        <w:tc>
          <w:tcPr>
            <w:tcW w:w="1881" w:type="dxa"/>
          </w:tcPr>
          <w:p w:rsidR="00FF3072" w:rsidRPr="006A21BC" w:rsidRDefault="00FF3072" w:rsidP="00FF3072">
            <w:pPr>
              <w:spacing w:after="120"/>
              <w:jc w:val="right"/>
              <w:rPr>
                <w:rFonts w:ascii="Times New Roman" w:hAnsi="Times New Roman" w:cs="Times New Roman"/>
                <w:b/>
                <w:sz w:val="24"/>
                <w:szCs w:val="24"/>
              </w:rPr>
            </w:pPr>
            <w:r w:rsidRPr="006A21BC">
              <w:rPr>
                <w:rFonts w:ascii="Times New Roman" w:hAnsi="Times New Roman" w:cs="Times New Roman"/>
                <w:b/>
                <w:sz w:val="24"/>
                <w:szCs w:val="24"/>
              </w:rPr>
              <w:t>Year 1</w:t>
            </w:r>
          </w:p>
        </w:tc>
        <w:tc>
          <w:tcPr>
            <w:tcW w:w="1804" w:type="dxa"/>
          </w:tcPr>
          <w:p w:rsidR="00FF3072" w:rsidRPr="006A21BC" w:rsidRDefault="00FF3072" w:rsidP="00FF3072">
            <w:pPr>
              <w:spacing w:after="120"/>
              <w:jc w:val="right"/>
              <w:rPr>
                <w:rFonts w:ascii="Times New Roman" w:hAnsi="Times New Roman" w:cs="Times New Roman"/>
                <w:b/>
                <w:sz w:val="24"/>
                <w:szCs w:val="24"/>
              </w:rPr>
            </w:pPr>
            <w:r w:rsidRPr="006A21BC">
              <w:rPr>
                <w:rFonts w:ascii="Times New Roman" w:hAnsi="Times New Roman" w:cs="Times New Roman"/>
                <w:b/>
                <w:sz w:val="24"/>
                <w:szCs w:val="24"/>
              </w:rPr>
              <w:t>Year 2</w:t>
            </w:r>
          </w:p>
        </w:tc>
      </w:tr>
      <w:tr w:rsidR="00FF3072" w:rsidRPr="006A21BC" w:rsidTr="005E0029">
        <w:tc>
          <w:tcPr>
            <w:tcW w:w="3119" w:type="dxa"/>
          </w:tcPr>
          <w:p w:rsidR="00FF3072" w:rsidRDefault="00FF3072" w:rsidP="00FF3072">
            <w:pPr>
              <w:spacing w:after="120"/>
              <w:rPr>
                <w:rFonts w:ascii="Times New Roman" w:hAnsi="Times New Roman" w:cs="Times New Roman"/>
                <w:sz w:val="24"/>
                <w:szCs w:val="24"/>
              </w:rPr>
            </w:pPr>
          </w:p>
        </w:tc>
        <w:tc>
          <w:tcPr>
            <w:tcW w:w="1881" w:type="dxa"/>
          </w:tcPr>
          <w:p w:rsidR="00FF3072" w:rsidRPr="006A21BC" w:rsidRDefault="00FF3072" w:rsidP="00FF3072">
            <w:pPr>
              <w:spacing w:after="120"/>
              <w:jc w:val="right"/>
              <w:rPr>
                <w:rFonts w:ascii="Times New Roman" w:hAnsi="Times New Roman" w:cs="Times New Roman"/>
                <w:b/>
                <w:sz w:val="24"/>
                <w:szCs w:val="24"/>
              </w:rPr>
            </w:pPr>
            <w:r w:rsidRPr="006A21BC">
              <w:rPr>
                <w:rFonts w:ascii="Times New Roman" w:hAnsi="Times New Roman" w:cs="Times New Roman"/>
                <w:b/>
                <w:sz w:val="24"/>
                <w:szCs w:val="24"/>
              </w:rPr>
              <w:t>Kshs</w:t>
            </w:r>
          </w:p>
        </w:tc>
        <w:tc>
          <w:tcPr>
            <w:tcW w:w="1804" w:type="dxa"/>
          </w:tcPr>
          <w:p w:rsidR="00FF3072" w:rsidRPr="006A21BC" w:rsidRDefault="00FF3072" w:rsidP="00FF3072">
            <w:pPr>
              <w:spacing w:after="120"/>
              <w:jc w:val="right"/>
              <w:rPr>
                <w:rFonts w:ascii="Times New Roman" w:hAnsi="Times New Roman" w:cs="Times New Roman"/>
                <w:b/>
                <w:sz w:val="24"/>
                <w:szCs w:val="24"/>
              </w:rPr>
            </w:pPr>
            <w:r w:rsidRPr="006A21BC">
              <w:rPr>
                <w:rFonts w:ascii="Times New Roman" w:hAnsi="Times New Roman" w:cs="Times New Roman"/>
                <w:b/>
                <w:sz w:val="24"/>
                <w:szCs w:val="24"/>
              </w:rPr>
              <w:t>Kshs</w:t>
            </w:r>
          </w:p>
        </w:tc>
      </w:tr>
      <w:tr w:rsidR="00FF3072" w:rsidTr="005E0029">
        <w:tc>
          <w:tcPr>
            <w:tcW w:w="3119" w:type="dxa"/>
          </w:tcPr>
          <w:p w:rsidR="00FF3072" w:rsidRDefault="00FF3072" w:rsidP="00FF3072">
            <w:pPr>
              <w:spacing w:after="120"/>
              <w:rPr>
                <w:rFonts w:ascii="Times New Roman" w:hAnsi="Times New Roman" w:cs="Times New Roman"/>
                <w:sz w:val="24"/>
                <w:szCs w:val="24"/>
              </w:rPr>
            </w:pPr>
            <w:r>
              <w:rPr>
                <w:rFonts w:ascii="Times New Roman" w:hAnsi="Times New Roman" w:cs="Times New Roman"/>
                <w:sz w:val="24"/>
                <w:szCs w:val="24"/>
              </w:rPr>
              <w:t xml:space="preserve">Revenue </w:t>
            </w:r>
          </w:p>
        </w:tc>
        <w:tc>
          <w:tcPr>
            <w:tcW w:w="1881" w:type="dxa"/>
          </w:tcPr>
          <w:p w:rsidR="00FF3072" w:rsidRDefault="00FF3072" w:rsidP="00FF3072">
            <w:pPr>
              <w:spacing w:after="120"/>
              <w:jc w:val="right"/>
              <w:rPr>
                <w:rFonts w:ascii="Times New Roman" w:hAnsi="Times New Roman" w:cs="Times New Roman"/>
                <w:sz w:val="24"/>
                <w:szCs w:val="24"/>
              </w:rPr>
            </w:pPr>
            <w:r>
              <w:rPr>
                <w:rFonts w:ascii="Times New Roman" w:hAnsi="Times New Roman" w:cs="Times New Roman"/>
                <w:sz w:val="24"/>
                <w:szCs w:val="24"/>
              </w:rPr>
              <w:t>82,500</w:t>
            </w:r>
          </w:p>
        </w:tc>
        <w:tc>
          <w:tcPr>
            <w:tcW w:w="1804" w:type="dxa"/>
          </w:tcPr>
          <w:p w:rsidR="00FF3072" w:rsidRDefault="00FF3072" w:rsidP="00FF3072">
            <w:pPr>
              <w:spacing w:after="120"/>
              <w:jc w:val="right"/>
              <w:rPr>
                <w:rFonts w:ascii="Times New Roman" w:hAnsi="Times New Roman" w:cs="Times New Roman"/>
                <w:sz w:val="24"/>
                <w:szCs w:val="24"/>
              </w:rPr>
            </w:pPr>
            <w:r>
              <w:rPr>
                <w:rFonts w:ascii="Times New Roman" w:hAnsi="Times New Roman" w:cs="Times New Roman"/>
                <w:sz w:val="24"/>
                <w:szCs w:val="24"/>
              </w:rPr>
              <w:t>90,755</w:t>
            </w:r>
          </w:p>
        </w:tc>
      </w:tr>
      <w:tr w:rsidR="00FF3072" w:rsidTr="005E0029">
        <w:tc>
          <w:tcPr>
            <w:tcW w:w="3119" w:type="dxa"/>
          </w:tcPr>
          <w:p w:rsidR="00FF3072" w:rsidRDefault="00FF3072" w:rsidP="00FF3072">
            <w:pPr>
              <w:rPr>
                <w:rFonts w:ascii="Times New Roman" w:hAnsi="Times New Roman" w:cs="Times New Roman"/>
                <w:sz w:val="24"/>
                <w:szCs w:val="24"/>
              </w:rPr>
            </w:pPr>
            <w:r>
              <w:rPr>
                <w:rFonts w:ascii="Times New Roman" w:hAnsi="Times New Roman" w:cs="Times New Roman"/>
                <w:sz w:val="24"/>
                <w:szCs w:val="24"/>
              </w:rPr>
              <w:t xml:space="preserve">Expense </w:t>
            </w:r>
          </w:p>
        </w:tc>
        <w:tc>
          <w:tcPr>
            <w:tcW w:w="1881" w:type="dxa"/>
          </w:tcPr>
          <w:p w:rsidR="00FF3072" w:rsidRDefault="00FF3072" w:rsidP="00FF3072">
            <w:pPr>
              <w:jc w:val="right"/>
              <w:rPr>
                <w:rFonts w:ascii="Times New Roman" w:hAnsi="Times New Roman" w:cs="Times New Roman"/>
                <w:sz w:val="24"/>
                <w:szCs w:val="24"/>
              </w:rPr>
            </w:pPr>
          </w:p>
        </w:tc>
        <w:tc>
          <w:tcPr>
            <w:tcW w:w="1804" w:type="dxa"/>
          </w:tcPr>
          <w:p w:rsidR="00FF3072" w:rsidRDefault="00FF3072" w:rsidP="00FF3072">
            <w:pPr>
              <w:jc w:val="right"/>
              <w:rPr>
                <w:rFonts w:ascii="Times New Roman" w:hAnsi="Times New Roman" w:cs="Times New Roman"/>
                <w:sz w:val="24"/>
                <w:szCs w:val="24"/>
              </w:rPr>
            </w:pPr>
          </w:p>
        </w:tc>
      </w:tr>
      <w:tr w:rsidR="00FF3072" w:rsidTr="005E0029">
        <w:tc>
          <w:tcPr>
            <w:tcW w:w="3119" w:type="dxa"/>
          </w:tcPr>
          <w:p w:rsidR="00FF3072" w:rsidRDefault="00FF3072" w:rsidP="00FF3072">
            <w:pPr>
              <w:rPr>
                <w:rFonts w:ascii="Times New Roman" w:hAnsi="Times New Roman" w:cs="Times New Roman"/>
                <w:sz w:val="24"/>
                <w:szCs w:val="24"/>
              </w:rPr>
            </w:pPr>
            <w:r>
              <w:rPr>
                <w:rFonts w:ascii="Times New Roman" w:hAnsi="Times New Roman" w:cs="Times New Roman"/>
                <w:sz w:val="24"/>
                <w:szCs w:val="24"/>
              </w:rPr>
              <w:lastRenderedPageBreak/>
              <w:t xml:space="preserve">Depreciation </w:t>
            </w:r>
          </w:p>
        </w:tc>
        <w:tc>
          <w:tcPr>
            <w:tcW w:w="1881" w:type="dxa"/>
          </w:tcPr>
          <w:p w:rsidR="00FF3072" w:rsidRDefault="00FF3072" w:rsidP="00FF3072">
            <w:pPr>
              <w:jc w:val="right"/>
              <w:rPr>
                <w:rFonts w:ascii="Times New Roman" w:hAnsi="Times New Roman" w:cs="Times New Roman"/>
                <w:sz w:val="24"/>
                <w:szCs w:val="24"/>
              </w:rPr>
            </w:pPr>
            <w:r w:rsidRPr="00FF3072">
              <w:rPr>
                <w:rFonts w:ascii="Times New Roman" w:hAnsi="Times New Roman" w:cs="Times New Roman"/>
                <w:position w:val="-14"/>
                <w:sz w:val="24"/>
                <w:szCs w:val="24"/>
              </w:rPr>
              <w:object w:dxaOrig="859" w:dyaOrig="380">
                <v:shape id="_x0000_i1030" type="#_x0000_t75" style="width:42.75pt;height:18.75pt" o:ole="">
                  <v:imagedata r:id="rId21" o:title=""/>
                </v:shape>
                <o:OLEObject Type="Embed" ProgID="Equation.3" ShapeID="_x0000_i1030" DrawAspect="Content" ObjectID="_1520842936" r:id="rId22"/>
              </w:object>
            </w:r>
          </w:p>
        </w:tc>
        <w:tc>
          <w:tcPr>
            <w:tcW w:w="1804" w:type="dxa"/>
          </w:tcPr>
          <w:p w:rsidR="00FF3072" w:rsidRDefault="00FF3072" w:rsidP="00FF3072">
            <w:pPr>
              <w:jc w:val="right"/>
              <w:rPr>
                <w:rFonts w:ascii="Times New Roman" w:hAnsi="Times New Roman" w:cs="Times New Roman"/>
                <w:sz w:val="24"/>
                <w:szCs w:val="24"/>
              </w:rPr>
            </w:pPr>
            <w:r w:rsidRPr="00FF3072">
              <w:rPr>
                <w:rFonts w:ascii="Times New Roman" w:hAnsi="Times New Roman" w:cs="Times New Roman"/>
                <w:position w:val="-14"/>
                <w:sz w:val="24"/>
                <w:szCs w:val="24"/>
              </w:rPr>
              <w:object w:dxaOrig="859" w:dyaOrig="380">
                <v:shape id="_x0000_i1031" type="#_x0000_t75" style="width:42.75pt;height:18.75pt" o:ole="">
                  <v:imagedata r:id="rId23" o:title=""/>
                </v:shape>
                <o:OLEObject Type="Embed" ProgID="Equation.3" ShapeID="_x0000_i1031" DrawAspect="Content" ObjectID="_1520842937" r:id="rId24"/>
              </w:object>
            </w:r>
          </w:p>
        </w:tc>
      </w:tr>
      <w:tr w:rsidR="00FF3072" w:rsidTr="005E0029">
        <w:tc>
          <w:tcPr>
            <w:tcW w:w="3119" w:type="dxa"/>
          </w:tcPr>
          <w:p w:rsidR="00FF3072" w:rsidRDefault="00FF3072" w:rsidP="00FF3072">
            <w:pPr>
              <w:rPr>
                <w:rFonts w:ascii="Times New Roman" w:hAnsi="Times New Roman" w:cs="Times New Roman"/>
                <w:sz w:val="24"/>
                <w:szCs w:val="24"/>
              </w:rPr>
            </w:pPr>
            <w:r>
              <w:rPr>
                <w:rFonts w:ascii="Times New Roman" w:hAnsi="Times New Roman" w:cs="Times New Roman"/>
                <w:sz w:val="24"/>
                <w:szCs w:val="24"/>
              </w:rPr>
              <w:t xml:space="preserve">Net Income </w:t>
            </w:r>
          </w:p>
        </w:tc>
        <w:tc>
          <w:tcPr>
            <w:tcW w:w="1881" w:type="dxa"/>
          </w:tcPr>
          <w:p w:rsidR="00FF3072" w:rsidRDefault="00FF3072" w:rsidP="00FF3072">
            <w:pPr>
              <w:jc w:val="right"/>
              <w:rPr>
                <w:rFonts w:ascii="Times New Roman" w:hAnsi="Times New Roman" w:cs="Times New Roman"/>
                <w:sz w:val="24"/>
                <w:szCs w:val="24"/>
              </w:rPr>
            </w:pPr>
            <w:r w:rsidRPr="00FF3072">
              <w:rPr>
                <w:rFonts w:ascii="Times New Roman" w:hAnsi="Times New Roman" w:cs="Times New Roman"/>
                <w:position w:val="-18"/>
                <w:sz w:val="24"/>
                <w:szCs w:val="24"/>
              </w:rPr>
              <w:object w:dxaOrig="720" w:dyaOrig="420">
                <v:shape id="_x0000_i1032" type="#_x0000_t75" style="width:36pt;height:21pt" o:ole="">
                  <v:imagedata r:id="rId25" o:title=""/>
                </v:shape>
                <o:OLEObject Type="Embed" ProgID="Equation.3" ShapeID="_x0000_i1032" DrawAspect="Content" ObjectID="_1520842938" r:id="rId26"/>
              </w:object>
            </w:r>
          </w:p>
        </w:tc>
        <w:tc>
          <w:tcPr>
            <w:tcW w:w="1804" w:type="dxa"/>
          </w:tcPr>
          <w:p w:rsidR="00FF3072" w:rsidRDefault="00FF3072" w:rsidP="00FF3072">
            <w:pPr>
              <w:jc w:val="right"/>
              <w:rPr>
                <w:rFonts w:ascii="Times New Roman" w:hAnsi="Times New Roman" w:cs="Times New Roman"/>
                <w:sz w:val="24"/>
                <w:szCs w:val="24"/>
              </w:rPr>
            </w:pPr>
            <w:r w:rsidRPr="00FF3072">
              <w:rPr>
                <w:rFonts w:ascii="Times New Roman" w:hAnsi="Times New Roman" w:cs="Times New Roman"/>
                <w:position w:val="-18"/>
                <w:sz w:val="24"/>
                <w:szCs w:val="24"/>
              </w:rPr>
              <w:object w:dxaOrig="720" w:dyaOrig="420">
                <v:shape id="_x0000_i1033" type="#_x0000_t75" style="width:36pt;height:21pt" o:ole="">
                  <v:imagedata r:id="rId27" o:title=""/>
                </v:shape>
                <o:OLEObject Type="Embed" ProgID="Equation.3" ShapeID="_x0000_i1033" DrawAspect="Content" ObjectID="_1520842939" r:id="rId28"/>
              </w:object>
            </w:r>
          </w:p>
        </w:tc>
      </w:tr>
    </w:tbl>
    <w:p w:rsidR="00FF3072" w:rsidRDefault="00FF3072" w:rsidP="006A21B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Additional Information </w:t>
      </w:r>
    </w:p>
    <w:p w:rsidR="00FF3072" w:rsidRDefault="00FF3072" w:rsidP="007B2AC7">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The company was formed on January 1</w:t>
      </w:r>
      <w:r w:rsidRPr="00FF3072">
        <w:rPr>
          <w:rFonts w:ascii="Times New Roman" w:hAnsi="Times New Roman" w:cs="Times New Roman"/>
          <w:sz w:val="24"/>
          <w:szCs w:val="24"/>
          <w:vertAlign w:val="superscript"/>
        </w:rPr>
        <w:t>st</w:t>
      </w:r>
      <w:r>
        <w:rPr>
          <w:rFonts w:ascii="Times New Roman" w:hAnsi="Times New Roman" w:cs="Times New Roman"/>
          <w:sz w:val="24"/>
          <w:szCs w:val="24"/>
        </w:rPr>
        <w:t>, Year 1 through a cash investment of Ksh. 195,000.</w:t>
      </w:r>
    </w:p>
    <w:p w:rsidR="00FF3072" w:rsidRDefault="00FF3072" w:rsidP="007B2AC7">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The building was acquired on January 1</w:t>
      </w:r>
      <w:r w:rsidRPr="00FF3072">
        <w:rPr>
          <w:rFonts w:ascii="Times New Roman" w:hAnsi="Times New Roman" w:cs="Times New Roman"/>
          <w:sz w:val="24"/>
          <w:szCs w:val="24"/>
          <w:vertAlign w:val="superscript"/>
        </w:rPr>
        <w:t>st</w:t>
      </w:r>
      <w:r>
        <w:rPr>
          <w:rFonts w:ascii="Times New Roman" w:hAnsi="Times New Roman" w:cs="Times New Roman"/>
          <w:sz w:val="24"/>
          <w:szCs w:val="24"/>
        </w:rPr>
        <w:t xml:space="preserve"> Year 1 at a cost of 195,000. Expected useful life is </w:t>
      </w:r>
      <w:r w:rsidRPr="00FF3072">
        <w:rPr>
          <w:rFonts w:ascii="Times New Roman" w:hAnsi="Times New Roman" w:cs="Times New Roman"/>
          <w:position w:val="-24"/>
          <w:sz w:val="24"/>
          <w:szCs w:val="24"/>
        </w:rPr>
        <w:object w:dxaOrig="360" w:dyaOrig="620">
          <v:shape id="_x0000_i1034" type="#_x0000_t75" style="width:18pt;height:30.75pt" o:ole="">
            <v:imagedata r:id="rId29" o:title=""/>
          </v:shape>
          <o:OLEObject Type="Embed" ProgID="Equation.3" ShapeID="_x0000_i1034" DrawAspect="Content" ObjectID="_1520842940" r:id="rId30"/>
        </w:object>
      </w:r>
      <w:r>
        <w:rPr>
          <w:rFonts w:ascii="Times New Roman" w:hAnsi="Times New Roman" w:cs="Times New Roman"/>
          <w:sz w:val="24"/>
          <w:szCs w:val="24"/>
        </w:rPr>
        <w:t xml:space="preserve">years. </w:t>
      </w:r>
    </w:p>
    <w:p w:rsidR="0045782E" w:rsidRDefault="0045782E" w:rsidP="007B2AC7">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All revenue is received at the end of the year.</w:t>
      </w:r>
    </w:p>
    <w:p w:rsidR="0045782E" w:rsidRDefault="0045782E" w:rsidP="007B2AC7">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There is no operating expenses except depreciation.</w:t>
      </w:r>
    </w:p>
    <w:p w:rsidR="0045782E" w:rsidRDefault="0045782E" w:rsidP="007B2AC7">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Al net income is paid </w:t>
      </w:r>
      <w:r w:rsidR="00380CE6">
        <w:rPr>
          <w:rFonts w:ascii="Times New Roman" w:hAnsi="Times New Roman" w:cs="Times New Roman"/>
          <w:sz w:val="24"/>
          <w:szCs w:val="24"/>
        </w:rPr>
        <w:t>out as</w:t>
      </w:r>
      <w:r>
        <w:rPr>
          <w:rFonts w:ascii="Times New Roman" w:hAnsi="Times New Roman" w:cs="Times New Roman"/>
          <w:sz w:val="24"/>
          <w:szCs w:val="24"/>
        </w:rPr>
        <w:t xml:space="preserve"> a dividend.  The balance of cash in banked at no interest return.</w:t>
      </w:r>
    </w:p>
    <w:p w:rsidR="0045782E" w:rsidRDefault="0045782E" w:rsidP="007B2AC7">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price indexes for Year 1 and Year 2 are as follows. </w:t>
      </w:r>
    </w:p>
    <w:p w:rsidR="0045782E" w:rsidRDefault="0045782E" w:rsidP="00D32FE5">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1</w:t>
      </w:r>
      <w:r w:rsidRPr="0045782E">
        <w:rPr>
          <w:rFonts w:ascii="Times New Roman" w:hAnsi="Times New Roman" w:cs="Times New Roman"/>
          <w:sz w:val="24"/>
          <w:szCs w:val="24"/>
          <w:vertAlign w:val="superscript"/>
        </w:rPr>
        <w:t>st</w:t>
      </w:r>
      <w:r>
        <w:rPr>
          <w:rFonts w:ascii="Times New Roman" w:hAnsi="Times New Roman" w:cs="Times New Roman"/>
          <w:sz w:val="24"/>
          <w:szCs w:val="24"/>
        </w:rPr>
        <w:t xml:space="preserve"> Jan</w:t>
      </w:r>
      <w:r>
        <w:rPr>
          <w:rFonts w:ascii="Times New Roman" w:hAnsi="Times New Roman" w:cs="Times New Roman"/>
          <w:sz w:val="24"/>
          <w:szCs w:val="24"/>
        </w:rPr>
        <w:tab/>
      </w:r>
      <w:r>
        <w:rPr>
          <w:rFonts w:ascii="Times New Roman" w:hAnsi="Times New Roman" w:cs="Times New Roman"/>
          <w:sz w:val="24"/>
          <w:szCs w:val="24"/>
        </w:rPr>
        <w:tab/>
        <w:t xml:space="preserve">Year 1 </w:t>
      </w:r>
      <w:r>
        <w:rPr>
          <w:rFonts w:ascii="Times New Roman" w:hAnsi="Times New Roman" w:cs="Times New Roman"/>
          <w:sz w:val="24"/>
          <w:szCs w:val="24"/>
        </w:rPr>
        <w:tab/>
        <w:t xml:space="preserve">   100</w:t>
      </w:r>
    </w:p>
    <w:p w:rsidR="0045782E" w:rsidRDefault="0045782E" w:rsidP="00D32FE5">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31</w:t>
      </w:r>
      <w:r w:rsidRPr="0045782E">
        <w:rPr>
          <w:rFonts w:ascii="Times New Roman" w:hAnsi="Times New Roman" w:cs="Times New Roman"/>
          <w:sz w:val="24"/>
          <w:szCs w:val="24"/>
          <w:vertAlign w:val="superscript"/>
        </w:rPr>
        <w:t>st</w:t>
      </w:r>
      <w:r>
        <w:rPr>
          <w:rFonts w:ascii="Times New Roman" w:hAnsi="Times New Roman" w:cs="Times New Roman"/>
          <w:sz w:val="24"/>
          <w:szCs w:val="24"/>
        </w:rPr>
        <w:t xml:space="preserve"> Dec</w:t>
      </w:r>
      <w:r>
        <w:rPr>
          <w:rFonts w:ascii="Times New Roman" w:hAnsi="Times New Roman" w:cs="Times New Roman"/>
          <w:sz w:val="24"/>
          <w:szCs w:val="24"/>
        </w:rPr>
        <w:tab/>
        <w:t xml:space="preserve">Year 1 </w:t>
      </w:r>
      <w:r>
        <w:rPr>
          <w:rFonts w:ascii="Times New Roman" w:hAnsi="Times New Roman" w:cs="Times New Roman"/>
          <w:sz w:val="24"/>
          <w:szCs w:val="24"/>
        </w:rPr>
        <w:tab/>
        <w:t xml:space="preserve">   105</w:t>
      </w:r>
    </w:p>
    <w:p w:rsidR="0045782E" w:rsidRDefault="0045782E" w:rsidP="00D32FE5">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31</w:t>
      </w:r>
      <w:r w:rsidRPr="0045782E">
        <w:rPr>
          <w:rFonts w:ascii="Times New Roman" w:hAnsi="Times New Roman" w:cs="Times New Roman"/>
          <w:sz w:val="24"/>
          <w:szCs w:val="24"/>
          <w:vertAlign w:val="superscript"/>
        </w:rPr>
        <w:t>st</w:t>
      </w:r>
      <w:r>
        <w:rPr>
          <w:rFonts w:ascii="Times New Roman" w:hAnsi="Times New Roman" w:cs="Times New Roman"/>
          <w:sz w:val="24"/>
          <w:szCs w:val="24"/>
        </w:rPr>
        <w:t xml:space="preserve"> Dec</w:t>
      </w:r>
      <w:r>
        <w:rPr>
          <w:rFonts w:ascii="Times New Roman" w:hAnsi="Times New Roman" w:cs="Times New Roman"/>
          <w:sz w:val="24"/>
          <w:szCs w:val="24"/>
        </w:rPr>
        <w:tab/>
        <w:t xml:space="preserve">Year 2 </w:t>
      </w:r>
      <w:r>
        <w:rPr>
          <w:rFonts w:ascii="Times New Roman" w:hAnsi="Times New Roman" w:cs="Times New Roman"/>
          <w:sz w:val="24"/>
          <w:szCs w:val="24"/>
        </w:rPr>
        <w:tab/>
        <w:t xml:space="preserve">   110</w:t>
      </w:r>
    </w:p>
    <w:p w:rsidR="00380CE6" w:rsidRPr="00380CE6" w:rsidRDefault="00380CE6" w:rsidP="00D32FE5">
      <w:pPr>
        <w:spacing w:after="120" w:line="360" w:lineRule="auto"/>
        <w:rPr>
          <w:rFonts w:ascii="Times New Roman" w:hAnsi="Times New Roman" w:cs="Times New Roman"/>
          <w:b/>
          <w:sz w:val="24"/>
          <w:szCs w:val="24"/>
        </w:rPr>
      </w:pPr>
      <w:r w:rsidRPr="00380CE6">
        <w:rPr>
          <w:rFonts w:ascii="Times New Roman" w:hAnsi="Times New Roman" w:cs="Times New Roman"/>
          <w:b/>
          <w:sz w:val="24"/>
          <w:szCs w:val="24"/>
        </w:rPr>
        <w:t>Required:</w:t>
      </w:r>
    </w:p>
    <w:p w:rsidR="00380CE6" w:rsidRDefault="00380CE6" w:rsidP="00D32FE5">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Prepare the balance sheet and income statements for Mauzo Ltd for the two years using the current purchasing power approach.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 marks) </w:t>
      </w:r>
    </w:p>
    <w:p w:rsidR="00380CE6" w:rsidRPr="001D4A1D" w:rsidRDefault="00380CE6" w:rsidP="00D32FE5">
      <w:pPr>
        <w:spacing w:after="120" w:line="360" w:lineRule="auto"/>
        <w:rPr>
          <w:rFonts w:ascii="Times New Roman" w:hAnsi="Times New Roman" w:cs="Times New Roman"/>
          <w:b/>
          <w:sz w:val="24"/>
          <w:szCs w:val="24"/>
        </w:rPr>
      </w:pPr>
      <w:r w:rsidRPr="001D4A1D">
        <w:rPr>
          <w:rFonts w:ascii="Times New Roman" w:hAnsi="Times New Roman" w:cs="Times New Roman"/>
          <w:b/>
          <w:sz w:val="24"/>
          <w:szCs w:val="24"/>
        </w:rPr>
        <w:t>QUESTION FIVE (20 MARKS)</w:t>
      </w:r>
    </w:p>
    <w:p w:rsidR="00D32FE5" w:rsidRDefault="00380CE6" w:rsidP="00D32FE5">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phrase “Public Interest” has been used to justify government objective </w:t>
      </w:r>
      <w:r w:rsidR="001D4A1D">
        <w:rPr>
          <w:rFonts w:ascii="Times New Roman" w:hAnsi="Times New Roman" w:cs="Times New Roman"/>
          <w:sz w:val="24"/>
          <w:szCs w:val="24"/>
        </w:rPr>
        <w:t xml:space="preserve">of regulating and controlling accounting and accounting information despite the fact that accountancy bodies like ICPA (k) do administer codes of conduct and ethics for accountants. </w:t>
      </w:r>
    </w:p>
    <w:p w:rsidR="001D4A1D" w:rsidRPr="001D4A1D" w:rsidRDefault="001D4A1D" w:rsidP="00D32FE5">
      <w:pPr>
        <w:spacing w:after="120" w:line="360" w:lineRule="auto"/>
        <w:rPr>
          <w:rFonts w:ascii="Times New Roman" w:hAnsi="Times New Roman" w:cs="Times New Roman"/>
          <w:b/>
          <w:sz w:val="24"/>
          <w:szCs w:val="24"/>
        </w:rPr>
      </w:pPr>
      <w:r w:rsidRPr="001D4A1D">
        <w:rPr>
          <w:rFonts w:ascii="Times New Roman" w:hAnsi="Times New Roman" w:cs="Times New Roman"/>
          <w:b/>
          <w:sz w:val="24"/>
          <w:szCs w:val="24"/>
        </w:rPr>
        <w:t>Required:</w:t>
      </w:r>
    </w:p>
    <w:p w:rsidR="001D4A1D" w:rsidRDefault="001D4A1D" w:rsidP="007B2AC7">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and justify with concrete reasons why government and their agencies should regulate and control accounting and accounting information in a given country.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1D4A1D" w:rsidRDefault="001D4A1D" w:rsidP="007B2AC7">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importance of legislation to the theory and development of conceptual framework of accounting.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1D4A1D" w:rsidRDefault="001D4A1D" w:rsidP="007B2AC7">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Highlight some of the demerits of government controls and regulations of the accounting practice and profession in Kenya.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1D4A1D" w:rsidRDefault="001D4A1D" w:rsidP="007B2AC7">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Highlight the role of ICPA (K).  Have the codes issued by the accountancy body been effective in regulating the professional conduct and ethics of accountants in Kenya?  Discuss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1D4A1D" w:rsidRPr="001D4A1D" w:rsidRDefault="001D4A1D" w:rsidP="00D32FE5">
      <w:pPr>
        <w:pStyle w:val="ListParagraph"/>
        <w:spacing w:after="120" w:line="240" w:lineRule="auto"/>
        <w:rPr>
          <w:rFonts w:ascii="Times New Roman" w:hAnsi="Times New Roman" w:cs="Times New Roman"/>
          <w:sz w:val="24"/>
          <w:szCs w:val="24"/>
        </w:rPr>
      </w:pPr>
    </w:p>
    <w:sectPr w:rsidR="001D4A1D" w:rsidRPr="001D4A1D" w:rsidSect="00E84307">
      <w:footerReference w:type="default" r:id="rId3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75F" w:rsidRDefault="0089675F" w:rsidP="00684E5D">
      <w:pPr>
        <w:spacing w:after="0" w:line="240" w:lineRule="auto"/>
      </w:pPr>
      <w:r>
        <w:separator/>
      </w:r>
    </w:p>
  </w:endnote>
  <w:endnote w:type="continuationSeparator" w:id="1">
    <w:p w:rsidR="0089675F" w:rsidRDefault="0089675F"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5D" w:rsidRDefault="005C285D"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C285D" w:rsidRDefault="005C285D">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8F2E85" w:rsidRPr="008F2E85">
        <w:rPr>
          <w:rFonts w:asciiTheme="majorHAnsi" w:hAnsiTheme="majorHAnsi"/>
          <w:noProof/>
        </w:rPr>
        <w:t>6</w:t>
      </w:r>
    </w:fldSimple>
  </w:p>
  <w:p w:rsidR="005C285D" w:rsidRDefault="005C2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75F" w:rsidRDefault="0089675F" w:rsidP="00684E5D">
      <w:pPr>
        <w:spacing w:after="0" w:line="240" w:lineRule="auto"/>
      </w:pPr>
      <w:r>
        <w:separator/>
      </w:r>
    </w:p>
  </w:footnote>
  <w:footnote w:type="continuationSeparator" w:id="1">
    <w:p w:rsidR="0089675F" w:rsidRDefault="0089675F"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2F46"/>
    <w:multiLevelType w:val="hybridMultilevel"/>
    <w:tmpl w:val="26005206"/>
    <w:lvl w:ilvl="0" w:tplc="627A59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DDF455F"/>
    <w:multiLevelType w:val="hybridMultilevel"/>
    <w:tmpl w:val="35DA5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46639"/>
    <w:multiLevelType w:val="hybridMultilevel"/>
    <w:tmpl w:val="459A9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54C68"/>
    <w:multiLevelType w:val="hybridMultilevel"/>
    <w:tmpl w:val="641CD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038B9"/>
    <w:multiLevelType w:val="hybridMultilevel"/>
    <w:tmpl w:val="963E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F52DE0"/>
    <w:multiLevelType w:val="hybridMultilevel"/>
    <w:tmpl w:val="E4E85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E255E"/>
    <w:multiLevelType w:val="hybridMultilevel"/>
    <w:tmpl w:val="086A05EA"/>
    <w:lvl w:ilvl="0" w:tplc="42DA28E4">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624536A9"/>
    <w:multiLevelType w:val="hybridMultilevel"/>
    <w:tmpl w:val="FD622838"/>
    <w:lvl w:ilvl="0" w:tplc="1C1CDE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260F6"/>
    <w:multiLevelType w:val="hybridMultilevel"/>
    <w:tmpl w:val="EE806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56B60AB"/>
    <w:multiLevelType w:val="hybridMultilevel"/>
    <w:tmpl w:val="CC58FC1E"/>
    <w:lvl w:ilvl="0" w:tplc="38C2D2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9"/>
  </w:num>
  <w:num w:numId="4">
    <w:abstractNumId w:val="8"/>
  </w:num>
  <w:num w:numId="5">
    <w:abstractNumId w:val="0"/>
  </w:num>
  <w:num w:numId="6">
    <w:abstractNumId w:val="6"/>
  </w:num>
  <w:num w:numId="7">
    <w:abstractNumId w:val="3"/>
  </w:num>
  <w:num w:numId="8">
    <w:abstractNumId w:val="1"/>
  </w:num>
  <w:num w:numId="9">
    <w:abstractNumId w:val="4"/>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12A2A"/>
    <w:rsid w:val="00014D4F"/>
    <w:rsid w:val="000210A8"/>
    <w:rsid w:val="000219CB"/>
    <w:rsid w:val="0002397F"/>
    <w:rsid w:val="00034DA2"/>
    <w:rsid w:val="00040D80"/>
    <w:rsid w:val="0004143A"/>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0F66F9"/>
    <w:rsid w:val="0010471E"/>
    <w:rsid w:val="00111AFD"/>
    <w:rsid w:val="0011779A"/>
    <w:rsid w:val="0012189C"/>
    <w:rsid w:val="00121C94"/>
    <w:rsid w:val="00121D94"/>
    <w:rsid w:val="00130BFD"/>
    <w:rsid w:val="00130C2A"/>
    <w:rsid w:val="00134BC0"/>
    <w:rsid w:val="0013589F"/>
    <w:rsid w:val="0013761E"/>
    <w:rsid w:val="00137B44"/>
    <w:rsid w:val="0014213A"/>
    <w:rsid w:val="00143142"/>
    <w:rsid w:val="00145536"/>
    <w:rsid w:val="00147BEA"/>
    <w:rsid w:val="00151689"/>
    <w:rsid w:val="00151A1F"/>
    <w:rsid w:val="00161AC5"/>
    <w:rsid w:val="00162F38"/>
    <w:rsid w:val="00163E24"/>
    <w:rsid w:val="001707AE"/>
    <w:rsid w:val="001722F9"/>
    <w:rsid w:val="00173999"/>
    <w:rsid w:val="00176203"/>
    <w:rsid w:val="001776A6"/>
    <w:rsid w:val="00181538"/>
    <w:rsid w:val="00184741"/>
    <w:rsid w:val="00196297"/>
    <w:rsid w:val="001A45B0"/>
    <w:rsid w:val="001A6120"/>
    <w:rsid w:val="001B3F3C"/>
    <w:rsid w:val="001C32AD"/>
    <w:rsid w:val="001D4A1D"/>
    <w:rsid w:val="001E1503"/>
    <w:rsid w:val="001E5090"/>
    <w:rsid w:val="001F07BA"/>
    <w:rsid w:val="001F14E5"/>
    <w:rsid w:val="001F7633"/>
    <w:rsid w:val="00216906"/>
    <w:rsid w:val="0022330A"/>
    <w:rsid w:val="00224B71"/>
    <w:rsid w:val="00232731"/>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B1C2C"/>
    <w:rsid w:val="002B1CBE"/>
    <w:rsid w:val="002B7615"/>
    <w:rsid w:val="002C11A4"/>
    <w:rsid w:val="002C11C6"/>
    <w:rsid w:val="002C3BBB"/>
    <w:rsid w:val="002E169F"/>
    <w:rsid w:val="002E694B"/>
    <w:rsid w:val="002F5AD8"/>
    <w:rsid w:val="00302D33"/>
    <w:rsid w:val="003043D1"/>
    <w:rsid w:val="00304C2E"/>
    <w:rsid w:val="00312D64"/>
    <w:rsid w:val="003161B6"/>
    <w:rsid w:val="00324B18"/>
    <w:rsid w:val="00325F10"/>
    <w:rsid w:val="0033466E"/>
    <w:rsid w:val="003355BC"/>
    <w:rsid w:val="003357DD"/>
    <w:rsid w:val="00340731"/>
    <w:rsid w:val="003421AA"/>
    <w:rsid w:val="0034734A"/>
    <w:rsid w:val="00354A34"/>
    <w:rsid w:val="00356EFF"/>
    <w:rsid w:val="00366C5E"/>
    <w:rsid w:val="00366DC6"/>
    <w:rsid w:val="00380CE6"/>
    <w:rsid w:val="00386863"/>
    <w:rsid w:val="0039055B"/>
    <w:rsid w:val="003948BD"/>
    <w:rsid w:val="00397883"/>
    <w:rsid w:val="003A50FD"/>
    <w:rsid w:val="003B2B9A"/>
    <w:rsid w:val="003B5C9A"/>
    <w:rsid w:val="003B7955"/>
    <w:rsid w:val="003C7AC0"/>
    <w:rsid w:val="003E0414"/>
    <w:rsid w:val="003E2132"/>
    <w:rsid w:val="003E2300"/>
    <w:rsid w:val="00406334"/>
    <w:rsid w:val="004066F2"/>
    <w:rsid w:val="00406996"/>
    <w:rsid w:val="00421F13"/>
    <w:rsid w:val="00423270"/>
    <w:rsid w:val="004255F5"/>
    <w:rsid w:val="00434499"/>
    <w:rsid w:val="004459F3"/>
    <w:rsid w:val="00453AA8"/>
    <w:rsid w:val="00455C59"/>
    <w:rsid w:val="0045782E"/>
    <w:rsid w:val="00463A75"/>
    <w:rsid w:val="00467961"/>
    <w:rsid w:val="004776CC"/>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620C"/>
    <w:rsid w:val="00504992"/>
    <w:rsid w:val="00510390"/>
    <w:rsid w:val="00512000"/>
    <w:rsid w:val="005143A1"/>
    <w:rsid w:val="005150C3"/>
    <w:rsid w:val="00516014"/>
    <w:rsid w:val="0052178F"/>
    <w:rsid w:val="00523412"/>
    <w:rsid w:val="00525DFC"/>
    <w:rsid w:val="00532887"/>
    <w:rsid w:val="00532A6C"/>
    <w:rsid w:val="00533925"/>
    <w:rsid w:val="00535AB2"/>
    <w:rsid w:val="00536A6C"/>
    <w:rsid w:val="00540A87"/>
    <w:rsid w:val="005445E0"/>
    <w:rsid w:val="005452BD"/>
    <w:rsid w:val="00550C59"/>
    <w:rsid w:val="00554F4A"/>
    <w:rsid w:val="0057442D"/>
    <w:rsid w:val="005746AC"/>
    <w:rsid w:val="005760E6"/>
    <w:rsid w:val="00582FF7"/>
    <w:rsid w:val="0058328A"/>
    <w:rsid w:val="005A48AF"/>
    <w:rsid w:val="005A524C"/>
    <w:rsid w:val="005B0473"/>
    <w:rsid w:val="005B6404"/>
    <w:rsid w:val="005B6955"/>
    <w:rsid w:val="005B7DE4"/>
    <w:rsid w:val="005C285D"/>
    <w:rsid w:val="005C4F78"/>
    <w:rsid w:val="005C764C"/>
    <w:rsid w:val="005D1C7A"/>
    <w:rsid w:val="005E4161"/>
    <w:rsid w:val="005E741E"/>
    <w:rsid w:val="005F3885"/>
    <w:rsid w:val="005F5654"/>
    <w:rsid w:val="00603170"/>
    <w:rsid w:val="00611E34"/>
    <w:rsid w:val="006153BB"/>
    <w:rsid w:val="006201AE"/>
    <w:rsid w:val="0062633E"/>
    <w:rsid w:val="0063468F"/>
    <w:rsid w:val="00635190"/>
    <w:rsid w:val="00636626"/>
    <w:rsid w:val="00640773"/>
    <w:rsid w:val="006426F5"/>
    <w:rsid w:val="00652E58"/>
    <w:rsid w:val="00655169"/>
    <w:rsid w:val="006564B2"/>
    <w:rsid w:val="00656DEE"/>
    <w:rsid w:val="0065788F"/>
    <w:rsid w:val="006611B5"/>
    <w:rsid w:val="00667220"/>
    <w:rsid w:val="00681B94"/>
    <w:rsid w:val="00683BEA"/>
    <w:rsid w:val="00684E5D"/>
    <w:rsid w:val="00685392"/>
    <w:rsid w:val="006961BE"/>
    <w:rsid w:val="006A21BC"/>
    <w:rsid w:val="006A4FD9"/>
    <w:rsid w:val="006B6559"/>
    <w:rsid w:val="006B6D98"/>
    <w:rsid w:val="006D0430"/>
    <w:rsid w:val="006D500B"/>
    <w:rsid w:val="006D7F8D"/>
    <w:rsid w:val="006E5309"/>
    <w:rsid w:val="006E71DA"/>
    <w:rsid w:val="006F5253"/>
    <w:rsid w:val="007061A3"/>
    <w:rsid w:val="007165FD"/>
    <w:rsid w:val="00720687"/>
    <w:rsid w:val="0072401C"/>
    <w:rsid w:val="0073203A"/>
    <w:rsid w:val="007427F1"/>
    <w:rsid w:val="007530E4"/>
    <w:rsid w:val="0076775F"/>
    <w:rsid w:val="00774D6E"/>
    <w:rsid w:val="00785EEA"/>
    <w:rsid w:val="00793785"/>
    <w:rsid w:val="00793C98"/>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8A6"/>
    <w:rsid w:val="0082080A"/>
    <w:rsid w:val="0082571C"/>
    <w:rsid w:val="008344A6"/>
    <w:rsid w:val="008403AF"/>
    <w:rsid w:val="00843581"/>
    <w:rsid w:val="00854C4D"/>
    <w:rsid w:val="0085723A"/>
    <w:rsid w:val="00861077"/>
    <w:rsid w:val="00862B6C"/>
    <w:rsid w:val="00871DA2"/>
    <w:rsid w:val="00884F99"/>
    <w:rsid w:val="0089675F"/>
    <w:rsid w:val="008A479F"/>
    <w:rsid w:val="008B15BC"/>
    <w:rsid w:val="008B3C11"/>
    <w:rsid w:val="008B64A4"/>
    <w:rsid w:val="008B6DD7"/>
    <w:rsid w:val="008C3C33"/>
    <w:rsid w:val="008C6B6F"/>
    <w:rsid w:val="008E18D8"/>
    <w:rsid w:val="008F03C1"/>
    <w:rsid w:val="008F1709"/>
    <w:rsid w:val="008F2E85"/>
    <w:rsid w:val="008F6923"/>
    <w:rsid w:val="008F6C70"/>
    <w:rsid w:val="0090680B"/>
    <w:rsid w:val="0090763A"/>
    <w:rsid w:val="00913D1B"/>
    <w:rsid w:val="00916A06"/>
    <w:rsid w:val="009264F9"/>
    <w:rsid w:val="00933087"/>
    <w:rsid w:val="0093778D"/>
    <w:rsid w:val="0094090F"/>
    <w:rsid w:val="00940C25"/>
    <w:rsid w:val="00942267"/>
    <w:rsid w:val="00942773"/>
    <w:rsid w:val="00946386"/>
    <w:rsid w:val="00953AD5"/>
    <w:rsid w:val="00961423"/>
    <w:rsid w:val="00995C20"/>
    <w:rsid w:val="009A1043"/>
    <w:rsid w:val="009A1675"/>
    <w:rsid w:val="009A337F"/>
    <w:rsid w:val="009A35B8"/>
    <w:rsid w:val="009A5253"/>
    <w:rsid w:val="009A67AD"/>
    <w:rsid w:val="009A6EC1"/>
    <w:rsid w:val="009B4BCF"/>
    <w:rsid w:val="009B73BB"/>
    <w:rsid w:val="009C08BE"/>
    <w:rsid w:val="009C5533"/>
    <w:rsid w:val="009C5D5F"/>
    <w:rsid w:val="009D0057"/>
    <w:rsid w:val="009D1C67"/>
    <w:rsid w:val="009E14B1"/>
    <w:rsid w:val="009E2A4B"/>
    <w:rsid w:val="009E3081"/>
    <w:rsid w:val="009E57F4"/>
    <w:rsid w:val="009E6EDE"/>
    <w:rsid w:val="009F671F"/>
    <w:rsid w:val="009F7260"/>
    <w:rsid w:val="00A01703"/>
    <w:rsid w:val="00A0658B"/>
    <w:rsid w:val="00A10575"/>
    <w:rsid w:val="00A12917"/>
    <w:rsid w:val="00A15BFB"/>
    <w:rsid w:val="00A17967"/>
    <w:rsid w:val="00A205A9"/>
    <w:rsid w:val="00A23815"/>
    <w:rsid w:val="00A313DC"/>
    <w:rsid w:val="00A32016"/>
    <w:rsid w:val="00A345D4"/>
    <w:rsid w:val="00A345F2"/>
    <w:rsid w:val="00A3671F"/>
    <w:rsid w:val="00A42C5A"/>
    <w:rsid w:val="00A45F58"/>
    <w:rsid w:val="00A46068"/>
    <w:rsid w:val="00A4685E"/>
    <w:rsid w:val="00A51396"/>
    <w:rsid w:val="00A5290B"/>
    <w:rsid w:val="00A54E7A"/>
    <w:rsid w:val="00A562E4"/>
    <w:rsid w:val="00A569D4"/>
    <w:rsid w:val="00A57AC5"/>
    <w:rsid w:val="00A57CBF"/>
    <w:rsid w:val="00A73BC1"/>
    <w:rsid w:val="00A77A8C"/>
    <w:rsid w:val="00A82DCB"/>
    <w:rsid w:val="00A855ED"/>
    <w:rsid w:val="00A87839"/>
    <w:rsid w:val="00A91DB1"/>
    <w:rsid w:val="00A96023"/>
    <w:rsid w:val="00A9699B"/>
    <w:rsid w:val="00AA35A2"/>
    <w:rsid w:val="00AA5BB7"/>
    <w:rsid w:val="00AA6BA4"/>
    <w:rsid w:val="00AB5F81"/>
    <w:rsid w:val="00AC633D"/>
    <w:rsid w:val="00AD0E3E"/>
    <w:rsid w:val="00AD1537"/>
    <w:rsid w:val="00AD167E"/>
    <w:rsid w:val="00AD5153"/>
    <w:rsid w:val="00AE7670"/>
    <w:rsid w:val="00AF00B3"/>
    <w:rsid w:val="00AF44CB"/>
    <w:rsid w:val="00AF795E"/>
    <w:rsid w:val="00B004EB"/>
    <w:rsid w:val="00B23744"/>
    <w:rsid w:val="00B24E91"/>
    <w:rsid w:val="00B276D6"/>
    <w:rsid w:val="00B30D41"/>
    <w:rsid w:val="00B32A5B"/>
    <w:rsid w:val="00B43AE8"/>
    <w:rsid w:val="00B510CD"/>
    <w:rsid w:val="00B52C7A"/>
    <w:rsid w:val="00B54586"/>
    <w:rsid w:val="00B56D47"/>
    <w:rsid w:val="00B5777C"/>
    <w:rsid w:val="00B602C5"/>
    <w:rsid w:val="00B61CED"/>
    <w:rsid w:val="00B7398B"/>
    <w:rsid w:val="00B7483C"/>
    <w:rsid w:val="00B802DE"/>
    <w:rsid w:val="00B851FC"/>
    <w:rsid w:val="00B87258"/>
    <w:rsid w:val="00B91801"/>
    <w:rsid w:val="00B961E4"/>
    <w:rsid w:val="00B97BED"/>
    <w:rsid w:val="00BA253A"/>
    <w:rsid w:val="00BB2234"/>
    <w:rsid w:val="00BB4364"/>
    <w:rsid w:val="00BB6943"/>
    <w:rsid w:val="00BC03E0"/>
    <w:rsid w:val="00BC6EE0"/>
    <w:rsid w:val="00BC7A47"/>
    <w:rsid w:val="00BE25EC"/>
    <w:rsid w:val="00BF0B83"/>
    <w:rsid w:val="00BF52ED"/>
    <w:rsid w:val="00BF5540"/>
    <w:rsid w:val="00BF6571"/>
    <w:rsid w:val="00BF766A"/>
    <w:rsid w:val="00C05644"/>
    <w:rsid w:val="00C07EEE"/>
    <w:rsid w:val="00C1077D"/>
    <w:rsid w:val="00C1089E"/>
    <w:rsid w:val="00C13636"/>
    <w:rsid w:val="00C22AD0"/>
    <w:rsid w:val="00C27591"/>
    <w:rsid w:val="00C30112"/>
    <w:rsid w:val="00C32CA0"/>
    <w:rsid w:val="00C40F0B"/>
    <w:rsid w:val="00C42B66"/>
    <w:rsid w:val="00C432FB"/>
    <w:rsid w:val="00C4369D"/>
    <w:rsid w:val="00C43CF7"/>
    <w:rsid w:val="00C45BFC"/>
    <w:rsid w:val="00C625BC"/>
    <w:rsid w:val="00C63719"/>
    <w:rsid w:val="00C70319"/>
    <w:rsid w:val="00C717C0"/>
    <w:rsid w:val="00C77ED9"/>
    <w:rsid w:val="00C80A4F"/>
    <w:rsid w:val="00C810B1"/>
    <w:rsid w:val="00C83D3F"/>
    <w:rsid w:val="00C86EE4"/>
    <w:rsid w:val="00C91D08"/>
    <w:rsid w:val="00C9572B"/>
    <w:rsid w:val="00C9794F"/>
    <w:rsid w:val="00CA110C"/>
    <w:rsid w:val="00CA1B42"/>
    <w:rsid w:val="00CA7E04"/>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27836"/>
    <w:rsid w:val="00D32DF4"/>
    <w:rsid w:val="00D32FE5"/>
    <w:rsid w:val="00D3352E"/>
    <w:rsid w:val="00D339E8"/>
    <w:rsid w:val="00D34B39"/>
    <w:rsid w:val="00D35F6C"/>
    <w:rsid w:val="00D46DA4"/>
    <w:rsid w:val="00D52B93"/>
    <w:rsid w:val="00D54DCF"/>
    <w:rsid w:val="00D5521C"/>
    <w:rsid w:val="00D7218A"/>
    <w:rsid w:val="00D76684"/>
    <w:rsid w:val="00D7704F"/>
    <w:rsid w:val="00D86BDB"/>
    <w:rsid w:val="00D878FE"/>
    <w:rsid w:val="00D9017B"/>
    <w:rsid w:val="00D90F5F"/>
    <w:rsid w:val="00D9536D"/>
    <w:rsid w:val="00D9666F"/>
    <w:rsid w:val="00DA3E48"/>
    <w:rsid w:val="00DB11C7"/>
    <w:rsid w:val="00DC2C2D"/>
    <w:rsid w:val="00DC45B1"/>
    <w:rsid w:val="00DC4790"/>
    <w:rsid w:val="00DC705E"/>
    <w:rsid w:val="00DD258C"/>
    <w:rsid w:val="00DD25AF"/>
    <w:rsid w:val="00DD2AC6"/>
    <w:rsid w:val="00DD56C4"/>
    <w:rsid w:val="00DE3A1E"/>
    <w:rsid w:val="00DE3DB3"/>
    <w:rsid w:val="00DF1D27"/>
    <w:rsid w:val="00E002EA"/>
    <w:rsid w:val="00E01AE6"/>
    <w:rsid w:val="00E02210"/>
    <w:rsid w:val="00E034A0"/>
    <w:rsid w:val="00E03F4E"/>
    <w:rsid w:val="00E04CED"/>
    <w:rsid w:val="00E0582C"/>
    <w:rsid w:val="00E07120"/>
    <w:rsid w:val="00E07D23"/>
    <w:rsid w:val="00E20F5E"/>
    <w:rsid w:val="00E21CE1"/>
    <w:rsid w:val="00E224D7"/>
    <w:rsid w:val="00E24308"/>
    <w:rsid w:val="00E45D25"/>
    <w:rsid w:val="00E55153"/>
    <w:rsid w:val="00E56079"/>
    <w:rsid w:val="00E62498"/>
    <w:rsid w:val="00E62C00"/>
    <w:rsid w:val="00E64322"/>
    <w:rsid w:val="00E70BA1"/>
    <w:rsid w:val="00E72C94"/>
    <w:rsid w:val="00E73E62"/>
    <w:rsid w:val="00E84307"/>
    <w:rsid w:val="00E856A7"/>
    <w:rsid w:val="00E85DAD"/>
    <w:rsid w:val="00E8790F"/>
    <w:rsid w:val="00E9591B"/>
    <w:rsid w:val="00EB38EA"/>
    <w:rsid w:val="00EC28DD"/>
    <w:rsid w:val="00EC50B0"/>
    <w:rsid w:val="00ED14F0"/>
    <w:rsid w:val="00EE0618"/>
    <w:rsid w:val="00EE6557"/>
    <w:rsid w:val="00EF12BB"/>
    <w:rsid w:val="00EF239D"/>
    <w:rsid w:val="00F03E3B"/>
    <w:rsid w:val="00F132A8"/>
    <w:rsid w:val="00F1685A"/>
    <w:rsid w:val="00F20A5E"/>
    <w:rsid w:val="00F3601B"/>
    <w:rsid w:val="00F3710D"/>
    <w:rsid w:val="00F44B8D"/>
    <w:rsid w:val="00F46A1A"/>
    <w:rsid w:val="00F51372"/>
    <w:rsid w:val="00F53F7E"/>
    <w:rsid w:val="00F57161"/>
    <w:rsid w:val="00F76141"/>
    <w:rsid w:val="00F80435"/>
    <w:rsid w:val="00F81CF8"/>
    <w:rsid w:val="00F82D23"/>
    <w:rsid w:val="00F855A7"/>
    <w:rsid w:val="00F906E6"/>
    <w:rsid w:val="00F91BEE"/>
    <w:rsid w:val="00F940AE"/>
    <w:rsid w:val="00FA6A5A"/>
    <w:rsid w:val="00FB1BDE"/>
    <w:rsid w:val="00FB1DBD"/>
    <w:rsid w:val="00FC2BE8"/>
    <w:rsid w:val="00FC3856"/>
    <w:rsid w:val="00FC38AB"/>
    <w:rsid w:val="00FD7559"/>
    <w:rsid w:val="00FE106E"/>
    <w:rsid w:val="00FE7FDB"/>
    <w:rsid w:val="00FF3072"/>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77E3-B2E6-42D7-B6BA-B82096D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6</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17</cp:revision>
  <cp:lastPrinted>2016-03-14T15:18:00Z</cp:lastPrinted>
  <dcterms:created xsi:type="dcterms:W3CDTF">2016-03-14T22:26:00Z</dcterms:created>
  <dcterms:modified xsi:type="dcterms:W3CDTF">2016-03-30T18:32:00Z</dcterms:modified>
</cp:coreProperties>
</file>