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5547FD"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5547FD" w:rsidP="00137B44">
      <w:pPr>
        <w:spacing w:after="0" w:line="240" w:lineRule="auto"/>
        <w:jc w:val="center"/>
        <w:rPr>
          <w:rFonts w:ascii="Maiandra GD" w:hAnsi="Maiandra GD"/>
          <w:b/>
        </w:rPr>
      </w:pPr>
      <w:r w:rsidRPr="005547FD">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A14100" w:rsidP="001E1503">
      <w:pPr>
        <w:spacing w:after="0" w:line="240" w:lineRule="auto"/>
        <w:jc w:val="center"/>
        <w:rPr>
          <w:rFonts w:ascii="Times New Roman" w:hAnsi="Times New Roman"/>
          <w:sz w:val="24"/>
          <w:szCs w:val="24"/>
        </w:rPr>
      </w:pPr>
      <w:r>
        <w:rPr>
          <w:rFonts w:ascii="Times New Roman" w:hAnsi="Times New Roman"/>
          <w:sz w:val="24"/>
          <w:szCs w:val="24"/>
        </w:rPr>
        <w:t>FOURTH</w:t>
      </w:r>
      <w:r w:rsidR="009E6EDE">
        <w:rPr>
          <w:rFonts w:ascii="Times New Roman" w:hAnsi="Times New Roman"/>
          <w:sz w:val="24"/>
          <w:szCs w:val="24"/>
        </w:rPr>
        <w:t xml:space="preserve"> YEAR </w:t>
      </w:r>
      <w:r w:rsidR="00B30D41">
        <w:rPr>
          <w:rFonts w:ascii="Times New Roman" w:hAnsi="Times New Roman"/>
          <w:sz w:val="24"/>
          <w:szCs w:val="24"/>
        </w:rPr>
        <w:t>FIRST</w:t>
      </w:r>
      <w:r w:rsidR="00DD258C">
        <w:rPr>
          <w:rFonts w:ascii="Times New Roman" w:hAnsi="Times New Roman"/>
          <w:sz w:val="24"/>
          <w:szCs w:val="24"/>
        </w:rPr>
        <w:t xml:space="preserve"> 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 xml:space="preserve">BACHELOR OF </w:t>
      </w:r>
      <w:r w:rsidR="00C432FB" w:rsidRPr="00B24E91">
        <w:rPr>
          <w:rFonts w:ascii="Times New Roman" w:hAnsi="Times New Roman"/>
          <w:sz w:val="24"/>
          <w:szCs w:val="24"/>
        </w:rPr>
        <w:t>COMMERCE</w:t>
      </w:r>
    </w:p>
    <w:p w:rsidR="00E856A7" w:rsidRDefault="00E856A7" w:rsidP="001E1503">
      <w:pPr>
        <w:spacing w:after="0" w:line="240" w:lineRule="auto"/>
        <w:jc w:val="center"/>
        <w:rPr>
          <w:rFonts w:ascii="Times New Roman" w:hAnsi="Times New Roman"/>
          <w:sz w:val="24"/>
          <w:szCs w:val="24"/>
        </w:rPr>
      </w:pPr>
    </w:p>
    <w:p w:rsidR="00137B44" w:rsidRDefault="002F5AD8" w:rsidP="002F5AD8">
      <w:pPr>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A14100">
        <w:rPr>
          <w:rFonts w:ascii="Times New Roman" w:hAnsi="Times New Roman"/>
          <w:b/>
          <w:sz w:val="24"/>
          <w:szCs w:val="24"/>
        </w:rPr>
        <w:t xml:space="preserve">3430:  PENSION FINANCE </w:t>
      </w:r>
      <w:r w:rsidR="002B1C18">
        <w:rPr>
          <w:rFonts w:ascii="Times New Roman" w:hAnsi="Times New Roman"/>
          <w:b/>
          <w:sz w:val="24"/>
          <w:szCs w:val="24"/>
        </w:rPr>
        <w:t xml:space="preserve"> </w:t>
      </w:r>
    </w:p>
    <w:p w:rsidR="00B24E91" w:rsidRDefault="00B24E91" w:rsidP="002F5AD8">
      <w:pPr>
        <w:spacing w:after="0" w:line="240" w:lineRule="auto"/>
        <w:jc w:val="center"/>
        <w:rPr>
          <w:rFonts w:ascii="Times New Roman" w:hAnsi="Times New Roman"/>
          <w:b/>
          <w:sz w:val="24"/>
          <w:szCs w:val="24"/>
        </w:rPr>
      </w:pPr>
    </w:p>
    <w:p w:rsidR="00137B44" w:rsidRDefault="005547FD" w:rsidP="00137B44">
      <w:pPr>
        <w:rPr>
          <w:rFonts w:ascii="Times New Roman" w:hAnsi="Times New Roman"/>
          <w:b/>
          <w:sz w:val="24"/>
          <w:szCs w:val="24"/>
        </w:rPr>
      </w:pPr>
      <w:r w:rsidRPr="005547FD">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5547FD" w:rsidP="00453AA8">
      <w:pPr>
        <w:spacing w:after="0" w:line="240" w:lineRule="auto"/>
        <w:rPr>
          <w:rFonts w:ascii="Times New Roman" w:hAnsi="Times New Roman"/>
          <w:i/>
          <w:sz w:val="24"/>
          <w:szCs w:val="24"/>
        </w:rPr>
      </w:pPr>
      <w:r w:rsidRPr="005547FD">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453AA8">
      <w:pPr>
        <w:spacing w:after="0" w:line="240" w:lineRule="auto"/>
        <w:rPr>
          <w:rFonts w:ascii="Times New Roman" w:hAnsi="Times New Roman"/>
          <w:i/>
          <w:sz w:val="24"/>
          <w:szCs w:val="24"/>
        </w:rPr>
      </w:pPr>
    </w:p>
    <w:p w:rsidR="00137B44" w:rsidRDefault="000A7B30" w:rsidP="00A313DC">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A14100" w:rsidRDefault="00D07D40" w:rsidP="00D07D40">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Distinguish between the following:</w:t>
      </w:r>
    </w:p>
    <w:p w:rsidR="00D07D40" w:rsidRDefault="00D07D40" w:rsidP="00D07D40">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Pension scheme and a provident fund  </w:t>
      </w:r>
      <w:r w:rsidR="00460BD5">
        <w:rPr>
          <w:rFonts w:ascii="Times New Roman" w:hAnsi="Times New Roman" w:cs="Times New Roman"/>
          <w:sz w:val="24"/>
          <w:szCs w:val="24"/>
        </w:rPr>
        <w:tab/>
      </w:r>
      <w:r w:rsidR="00460BD5">
        <w:rPr>
          <w:rFonts w:ascii="Times New Roman" w:hAnsi="Times New Roman" w:cs="Times New Roman"/>
          <w:sz w:val="24"/>
          <w:szCs w:val="24"/>
        </w:rPr>
        <w:tab/>
      </w:r>
      <w:r w:rsidR="00460BD5">
        <w:rPr>
          <w:rFonts w:ascii="Times New Roman" w:hAnsi="Times New Roman" w:cs="Times New Roman"/>
          <w:sz w:val="24"/>
          <w:szCs w:val="24"/>
        </w:rPr>
        <w:tab/>
      </w:r>
      <w:r w:rsidR="00460BD5">
        <w:rPr>
          <w:rFonts w:ascii="Times New Roman" w:hAnsi="Times New Roman" w:cs="Times New Roman"/>
          <w:sz w:val="24"/>
          <w:szCs w:val="24"/>
        </w:rPr>
        <w:tab/>
      </w:r>
      <w:r>
        <w:rPr>
          <w:rFonts w:ascii="Times New Roman" w:hAnsi="Times New Roman" w:cs="Times New Roman"/>
          <w:sz w:val="24"/>
          <w:szCs w:val="24"/>
        </w:rPr>
        <w:t>(2 marks)</w:t>
      </w:r>
    </w:p>
    <w:p w:rsidR="00D07D40" w:rsidRDefault="00D07D40" w:rsidP="00D07D40">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Funded scheme and unfunded scheme  </w:t>
      </w:r>
      <w:r w:rsidR="00460BD5">
        <w:rPr>
          <w:rFonts w:ascii="Times New Roman" w:hAnsi="Times New Roman" w:cs="Times New Roman"/>
          <w:sz w:val="24"/>
          <w:szCs w:val="24"/>
        </w:rPr>
        <w:tab/>
      </w:r>
      <w:r w:rsidR="00460BD5">
        <w:rPr>
          <w:rFonts w:ascii="Times New Roman" w:hAnsi="Times New Roman" w:cs="Times New Roman"/>
          <w:sz w:val="24"/>
          <w:szCs w:val="24"/>
        </w:rPr>
        <w:tab/>
      </w:r>
      <w:r w:rsidR="00460BD5">
        <w:rPr>
          <w:rFonts w:ascii="Times New Roman" w:hAnsi="Times New Roman" w:cs="Times New Roman"/>
          <w:sz w:val="24"/>
          <w:szCs w:val="24"/>
        </w:rPr>
        <w:tab/>
      </w:r>
      <w:r w:rsidR="00460BD5">
        <w:rPr>
          <w:rFonts w:ascii="Times New Roman" w:hAnsi="Times New Roman" w:cs="Times New Roman"/>
          <w:sz w:val="24"/>
          <w:szCs w:val="24"/>
        </w:rPr>
        <w:tab/>
      </w:r>
      <w:r>
        <w:rPr>
          <w:rFonts w:ascii="Times New Roman" w:hAnsi="Times New Roman" w:cs="Times New Roman"/>
          <w:sz w:val="24"/>
          <w:szCs w:val="24"/>
        </w:rPr>
        <w:t>(2 marks)</w:t>
      </w:r>
    </w:p>
    <w:p w:rsidR="00D07D40" w:rsidRDefault="00D07D40" w:rsidP="00D07D40">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Pension scheme trustees and fund managers.  </w:t>
      </w:r>
      <w:r w:rsidR="00460BD5">
        <w:rPr>
          <w:rFonts w:ascii="Times New Roman" w:hAnsi="Times New Roman" w:cs="Times New Roman"/>
          <w:sz w:val="24"/>
          <w:szCs w:val="24"/>
        </w:rPr>
        <w:tab/>
      </w:r>
      <w:r w:rsidR="00460BD5">
        <w:rPr>
          <w:rFonts w:ascii="Times New Roman" w:hAnsi="Times New Roman" w:cs="Times New Roman"/>
          <w:sz w:val="24"/>
          <w:szCs w:val="24"/>
        </w:rPr>
        <w:tab/>
      </w:r>
      <w:r w:rsidR="00460BD5">
        <w:rPr>
          <w:rFonts w:ascii="Times New Roman" w:hAnsi="Times New Roman" w:cs="Times New Roman"/>
          <w:sz w:val="24"/>
          <w:szCs w:val="24"/>
        </w:rPr>
        <w:tab/>
      </w:r>
      <w:r>
        <w:rPr>
          <w:rFonts w:ascii="Times New Roman" w:hAnsi="Times New Roman" w:cs="Times New Roman"/>
          <w:sz w:val="24"/>
          <w:szCs w:val="24"/>
        </w:rPr>
        <w:t>(2 marks)</w:t>
      </w:r>
    </w:p>
    <w:p w:rsidR="00D07D40" w:rsidRDefault="00D07D40" w:rsidP="00D07D40">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principle in IAS 19 on Employee Benefits is that a present obligation is created when an employee renders service in exchange for benefits promised under the plan.  In line with the principle, distinguish between vested and unvested benefits  </w:t>
      </w:r>
      <w:r w:rsidR="00460BD5">
        <w:rPr>
          <w:rFonts w:ascii="Times New Roman" w:hAnsi="Times New Roman" w:cs="Times New Roman"/>
          <w:sz w:val="24"/>
          <w:szCs w:val="24"/>
        </w:rPr>
        <w:tab/>
      </w:r>
      <w:r>
        <w:rPr>
          <w:rFonts w:ascii="Times New Roman" w:hAnsi="Times New Roman" w:cs="Times New Roman"/>
          <w:sz w:val="24"/>
          <w:szCs w:val="24"/>
        </w:rPr>
        <w:t>(4 marks)</w:t>
      </w:r>
    </w:p>
    <w:p w:rsidR="009E57EA" w:rsidRDefault="00D07D40" w:rsidP="00D07D40">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Manpower Planning Inc. is a Kenyan subsidiary of UK based Multinational Human Resource Firm that has opened office in Meru Town.  In a recent board meeting, the CEO of the Kenyan subsidiary underscored the need to have a pension plan for its company staff.  A resolution was made to seek consultancy from Alexander Forbes (EA) Ltd, a financial services firm in which you are employed.  Explain to the board the clear distinction between Defined Benefit scheme and</w:t>
      </w:r>
      <w:r w:rsidR="002B0CCB">
        <w:rPr>
          <w:rFonts w:ascii="Times New Roman" w:hAnsi="Times New Roman" w:cs="Times New Roman"/>
          <w:sz w:val="24"/>
          <w:szCs w:val="24"/>
        </w:rPr>
        <w:t xml:space="preserve"> </w:t>
      </w:r>
      <w:r w:rsidR="009E57EA">
        <w:rPr>
          <w:rFonts w:ascii="Times New Roman" w:hAnsi="Times New Roman" w:cs="Times New Roman"/>
          <w:sz w:val="24"/>
          <w:szCs w:val="24"/>
        </w:rPr>
        <w:t xml:space="preserve">Defined Contribution Scheme  </w:t>
      </w:r>
      <w:r w:rsidR="0030009D">
        <w:rPr>
          <w:rFonts w:ascii="Times New Roman" w:hAnsi="Times New Roman" w:cs="Times New Roman"/>
          <w:sz w:val="24"/>
          <w:szCs w:val="24"/>
        </w:rPr>
        <w:tab/>
      </w:r>
      <w:r w:rsidR="0030009D">
        <w:rPr>
          <w:rFonts w:ascii="Times New Roman" w:hAnsi="Times New Roman" w:cs="Times New Roman"/>
          <w:sz w:val="24"/>
          <w:szCs w:val="24"/>
        </w:rPr>
        <w:tab/>
      </w:r>
      <w:r w:rsidR="0030009D">
        <w:rPr>
          <w:rFonts w:ascii="Times New Roman" w:hAnsi="Times New Roman" w:cs="Times New Roman"/>
          <w:sz w:val="24"/>
          <w:szCs w:val="24"/>
        </w:rPr>
        <w:tab/>
      </w:r>
      <w:r w:rsidR="0030009D">
        <w:rPr>
          <w:rFonts w:ascii="Times New Roman" w:hAnsi="Times New Roman" w:cs="Times New Roman"/>
          <w:sz w:val="24"/>
          <w:szCs w:val="24"/>
        </w:rPr>
        <w:tab/>
      </w:r>
      <w:r w:rsidR="0030009D">
        <w:rPr>
          <w:rFonts w:ascii="Times New Roman" w:hAnsi="Times New Roman" w:cs="Times New Roman"/>
          <w:sz w:val="24"/>
          <w:szCs w:val="24"/>
        </w:rPr>
        <w:tab/>
      </w:r>
      <w:r w:rsidR="0030009D">
        <w:rPr>
          <w:rFonts w:ascii="Times New Roman" w:hAnsi="Times New Roman" w:cs="Times New Roman"/>
          <w:sz w:val="24"/>
          <w:szCs w:val="24"/>
        </w:rPr>
        <w:tab/>
      </w:r>
      <w:r w:rsidR="0030009D">
        <w:rPr>
          <w:rFonts w:ascii="Times New Roman" w:hAnsi="Times New Roman" w:cs="Times New Roman"/>
          <w:sz w:val="24"/>
          <w:szCs w:val="24"/>
        </w:rPr>
        <w:tab/>
      </w:r>
      <w:r w:rsidR="0030009D">
        <w:rPr>
          <w:rFonts w:ascii="Times New Roman" w:hAnsi="Times New Roman" w:cs="Times New Roman"/>
          <w:sz w:val="24"/>
          <w:szCs w:val="24"/>
        </w:rPr>
        <w:tab/>
      </w:r>
      <w:r w:rsidR="0030009D">
        <w:rPr>
          <w:rFonts w:ascii="Times New Roman" w:hAnsi="Times New Roman" w:cs="Times New Roman"/>
          <w:sz w:val="24"/>
          <w:szCs w:val="24"/>
        </w:rPr>
        <w:tab/>
      </w:r>
      <w:r w:rsidR="0030009D">
        <w:rPr>
          <w:rFonts w:ascii="Times New Roman" w:hAnsi="Times New Roman" w:cs="Times New Roman"/>
          <w:sz w:val="24"/>
          <w:szCs w:val="24"/>
        </w:rPr>
        <w:tab/>
      </w:r>
      <w:r w:rsidR="0030009D">
        <w:rPr>
          <w:rFonts w:ascii="Times New Roman" w:hAnsi="Times New Roman" w:cs="Times New Roman"/>
          <w:sz w:val="24"/>
          <w:szCs w:val="24"/>
        </w:rPr>
        <w:tab/>
      </w:r>
      <w:r w:rsidR="0030009D">
        <w:rPr>
          <w:rFonts w:ascii="Times New Roman" w:hAnsi="Times New Roman" w:cs="Times New Roman"/>
          <w:sz w:val="24"/>
          <w:szCs w:val="24"/>
        </w:rPr>
        <w:tab/>
      </w:r>
      <w:r w:rsidR="009E57EA">
        <w:rPr>
          <w:rFonts w:ascii="Times New Roman" w:hAnsi="Times New Roman" w:cs="Times New Roman"/>
          <w:sz w:val="24"/>
          <w:szCs w:val="24"/>
        </w:rPr>
        <w:t xml:space="preserve">(10 marks) </w:t>
      </w:r>
    </w:p>
    <w:p w:rsidR="009E57EA" w:rsidRDefault="009E57EA" w:rsidP="00D07D40">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Mr. Manono works as a senior auditor, Kenya National Audit Office on a permanent and pensionable basis.  The following were his employment details for the month of December 2015:</w:t>
      </w:r>
    </w:p>
    <w:p w:rsidR="00FF450B" w:rsidRDefault="009E57EA" w:rsidP="00604376">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He was paid basic </w:t>
      </w:r>
      <w:r w:rsidR="00604376">
        <w:rPr>
          <w:rFonts w:ascii="Times New Roman" w:hAnsi="Times New Roman" w:cs="Times New Roman"/>
          <w:sz w:val="24"/>
          <w:szCs w:val="24"/>
        </w:rPr>
        <w:t>salary</w:t>
      </w:r>
      <w:r>
        <w:rPr>
          <w:rFonts w:ascii="Times New Roman" w:hAnsi="Times New Roman" w:cs="Times New Roman"/>
          <w:sz w:val="24"/>
          <w:szCs w:val="24"/>
        </w:rPr>
        <w:t xml:space="preserve"> of sh.90, 000, house allowance of sh.30,000 </w:t>
      </w:r>
      <w:r w:rsidR="00FF450B">
        <w:rPr>
          <w:rFonts w:ascii="Times New Roman" w:hAnsi="Times New Roman" w:cs="Times New Roman"/>
          <w:sz w:val="24"/>
          <w:szCs w:val="24"/>
        </w:rPr>
        <w:t>and commuter allowance of sh.12, 000.  He contributed five per cent of his basic salary to pension scheme and the employer contributed ten per cent.  He lives in Nairobi and is married with two children</w:t>
      </w:r>
      <w:r w:rsidR="00604376">
        <w:rPr>
          <w:rFonts w:ascii="Times New Roman" w:hAnsi="Times New Roman" w:cs="Times New Roman"/>
          <w:sz w:val="24"/>
          <w:szCs w:val="24"/>
        </w:rPr>
        <w:t>.</w:t>
      </w:r>
    </w:p>
    <w:p w:rsidR="00604376" w:rsidRDefault="00604376" w:rsidP="00604376">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He had a life assurance policy with Liberty Life Inc for </w:t>
      </w:r>
      <w:r w:rsidR="006A6E75">
        <w:rPr>
          <w:rFonts w:ascii="Times New Roman" w:hAnsi="Times New Roman" w:cs="Times New Roman"/>
          <w:sz w:val="24"/>
          <w:szCs w:val="24"/>
        </w:rPr>
        <w:t>which</w:t>
      </w:r>
      <w:r>
        <w:rPr>
          <w:rFonts w:ascii="Times New Roman" w:hAnsi="Times New Roman" w:cs="Times New Roman"/>
          <w:sz w:val="24"/>
          <w:szCs w:val="24"/>
        </w:rPr>
        <w:t xml:space="preserve"> he contributed sh.5,000.</w:t>
      </w:r>
    </w:p>
    <w:p w:rsidR="00604376" w:rsidRDefault="00604376" w:rsidP="00604376">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He had a mortgage loan from Savings and Loan (KCB) which he took for purchase of residential property on which he repaid Sh.20, 160.  The repayment was inclusive of interest of sh. 10, 000.</w:t>
      </w:r>
    </w:p>
    <w:p w:rsidR="00604376" w:rsidRDefault="00604376" w:rsidP="00604376">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Other Statutory deduction:   NHIF  Sh. 1, 700.</w:t>
      </w:r>
    </w:p>
    <w:p w:rsidR="00604376" w:rsidRPr="0030009D" w:rsidRDefault="00604376" w:rsidP="00604376">
      <w:pPr>
        <w:spacing w:after="120" w:line="360" w:lineRule="auto"/>
        <w:rPr>
          <w:rFonts w:ascii="Times New Roman" w:hAnsi="Times New Roman" w:cs="Times New Roman"/>
          <w:b/>
          <w:sz w:val="24"/>
          <w:szCs w:val="24"/>
        </w:rPr>
      </w:pPr>
      <w:r w:rsidRPr="0030009D">
        <w:rPr>
          <w:rFonts w:ascii="Times New Roman" w:hAnsi="Times New Roman" w:cs="Times New Roman"/>
          <w:b/>
          <w:sz w:val="24"/>
          <w:szCs w:val="24"/>
        </w:rPr>
        <w:t xml:space="preserve">Required: </w:t>
      </w:r>
    </w:p>
    <w:p w:rsidR="00604376" w:rsidRDefault="00604376" w:rsidP="00604376">
      <w:pPr>
        <w:spacing w:after="120" w:line="360" w:lineRule="auto"/>
        <w:rPr>
          <w:rFonts w:ascii="Times New Roman" w:hAnsi="Times New Roman" w:cs="Times New Roman"/>
          <w:sz w:val="24"/>
          <w:szCs w:val="24"/>
        </w:rPr>
      </w:pPr>
      <w:r>
        <w:rPr>
          <w:rFonts w:ascii="Times New Roman" w:hAnsi="Times New Roman" w:cs="Times New Roman"/>
          <w:sz w:val="24"/>
          <w:szCs w:val="24"/>
        </w:rPr>
        <w:t>Prepare a well laid out statement (pay-slip) showing Mr. Manono’s net pay for the month of December 2015:</w:t>
      </w:r>
    </w:p>
    <w:p w:rsidR="00604376" w:rsidRDefault="00604376" w:rsidP="00604376">
      <w:pPr>
        <w:pStyle w:val="ListParagraph"/>
        <w:numPr>
          <w:ilvl w:val="0"/>
          <w:numId w:val="2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Assuming that the pension scheme is registered </w:t>
      </w:r>
    </w:p>
    <w:p w:rsidR="00604376" w:rsidRDefault="00604376" w:rsidP="00604376">
      <w:pPr>
        <w:pStyle w:val="ListParagraph"/>
        <w:numPr>
          <w:ilvl w:val="0"/>
          <w:numId w:val="2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Assuming that the pension scheme is not registered. </w:t>
      </w:r>
    </w:p>
    <w:p w:rsidR="00604376" w:rsidRPr="000D36AC" w:rsidRDefault="00604376" w:rsidP="00604376">
      <w:pPr>
        <w:spacing w:after="120" w:line="360" w:lineRule="auto"/>
        <w:rPr>
          <w:rFonts w:ascii="Times New Roman" w:hAnsi="Times New Roman" w:cs="Times New Roman"/>
          <w:b/>
          <w:sz w:val="24"/>
          <w:szCs w:val="24"/>
        </w:rPr>
      </w:pPr>
      <w:r w:rsidRPr="000D36AC">
        <w:rPr>
          <w:rFonts w:ascii="Times New Roman" w:hAnsi="Times New Roman" w:cs="Times New Roman"/>
          <w:b/>
          <w:sz w:val="24"/>
          <w:szCs w:val="24"/>
        </w:rPr>
        <w:t>RATES OF TAX</w:t>
      </w:r>
    </w:p>
    <w:p w:rsidR="00604376" w:rsidRDefault="00604376" w:rsidP="00604376">
      <w:pPr>
        <w:spacing w:after="120"/>
        <w:rPr>
          <w:rFonts w:ascii="Times New Roman" w:hAnsi="Times New Roman" w:cs="Times New Roman"/>
          <w:sz w:val="24"/>
          <w:szCs w:val="24"/>
        </w:rPr>
      </w:pPr>
      <w:r>
        <w:rPr>
          <w:rFonts w:ascii="Times New Roman" w:hAnsi="Times New Roman" w:cs="Times New Roman"/>
          <w:sz w:val="24"/>
          <w:szCs w:val="24"/>
        </w:rPr>
        <w:t>Monthly taxable pay (shillings)</w:t>
      </w:r>
      <w:r>
        <w:rPr>
          <w:rFonts w:ascii="Times New Roman" w:hAnsi="Times New Roman" w:cs="Times New Roman"/>
          <w:sz w:val="24"/>
          <w:szCs w:val="24"/>
        </w:rPr>
        <w:tab/>
        <w:t>Rate of tax % in each shilling</w:t>
      </w:r>
    </w:p>
    <w:p w:rsidR="00604376" w:rsidRDefault="00604376" w:rsidP="00604376">
      <w:pPr>
        <w:spacing w:after="1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10,164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604376" w:rsidRDefault="00604376" w:rsidP="00604376">
      <w:pPr>
        <w:spacing w:after="120"/>
        <w:rPr>
          <w:rFonts w:ascii="Times New Roman" w:hAnsi="Times New Roman" w:cs="Times New Roman"/>
          <w:sz w:val="24"/>
          <w:szCs w:val="24"/>
        </w:rPr>
      </w:pPr>
      <w:r>
        <w:rPr>
          <w:rFonts w:ascii="Times New Roman" w:hAnsi="Times New Roman" w:cs="Times New Roman"/>
          <w:sz w:val="24"/>
          <w:szCs w:val="24"/>
        </w:rPr>
        <w:t>10,165</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19,740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604376" w:rsidRDefault="00604376" w:rsidP="00604376">
      <w:pPr>
        <w:spacing w:after="120"/>
        <w:rPr>
          <w:rFonts w:ascii="Times New Roman" w:hAnsi="Times New Roman" w:cs="Times New Roman"/>
          <w:sz w:val="24"/>
          <w:szCs w:val="24"/>
        </w:rPr>
      </w:pPr>
      <w:r>
        <w:rPr>
          <w:rFonts w:ascii="Times New Roman" w:hAnsi="Times New Roman" w:cs="Times New Roman"/>
          <w:sz w:val="24"/>
          <w:szCs w:val="24"/>
        </w:rPr>
        <w:t>19,741</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29, 316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604376" w:rsidRDefault="00604376" w:rsidP="00604376">
      <w:pPr>
        <w:spacing w:after="120"/>
        <w:rPr>
          <w:rFonts w:ascii="Times New Roman" w:hAnsi="Times New Roman" w:cs="Times New Roman"/>
          <w:sz w:val="24"/>
          <w:szCs w:val="24"/>
        </w:rPr>
      </w:pPr>
      <w:r>
        <w:rPr>
          <w:rFonts w:ascii="Times New Roman" w:hAnsi="Times New Roman" w:cs="Times New Roman"/>
          <w:sz w:val="24"/>
          <w:szCs w:val="24"/>
        </w:rPr>
        <w:t>29, 317</w:t>
      </w:r>
      <w:r>
        <w:rPr>
          <w:rFonts w:ascii="Times New Roman" w:hAnsi="Times New Roman" w:cs="Times New Roman"/>
          <w:sz w:val="24"/>
          <w:szCs w:val="24"/>
        </w:rPr>
        <w:tab/>
        <w:t>-</w:t>
      </w:r>
      <w:r>
        <w:rPr>
          <w:rFonts w:ascii="Times New Roman" w:hAnsi="Times New Roman" w:cs="Times New Roman"/>
          <w:sz w:val="24"/>
          <w:szCs w:val="24"/>
        </w:rPr>
        <w:tab/>
        <w:t>38,892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604376" w:rsidRDefault="00604376" w:rsidP="00604376">
      <w:pPr>
        <w:spacing w:after="120"/>
        <w:rPr>
          <w:rFonts w:ascii="Times New Roman" w:hAnsi="Times New Roman" w:cs="Times New Roman"/>
          <w:sz w:val="24"/>
          <w:szCs w:val="24"/>
        </w:rPr>
      </w:pPr>
      <w:r>
        <w:rPr>
          <w:rFonts w:ascii="Times New Roman" w:hAnsi="Times New Roman" w:cs="Times New Roman"/>
          <w:sz w:val="24"/>
          <w:szCs w:val="24"/>
        </w:rPr>
        <w:t>Excess/over</w:t>
      </w:r>
      <w:r>
        <w:rPr>
          <w:rFonts w:ascii="Times New Roman" w:hAnsi="Times New Roman" w:cs="Times New Roman"/>
          <w:sz w:val="24"/>
          <w:szCs w:val="24"/>
        </w:rPr>
        <w:tab/>
        <w:t>-</w:t>
      </w:r>
      <w:r>
        <w:rPr>
          <w:rFonts w:ascii="Times New Roman" w:hAnsi="Times New Roman" w:cs="Times New Roman"/>
          <w:sz w:val="24"/>
          <w:szCs w:val="24"/>
        </w:rPr>
        <w:tab/>
        <w:t>38, 892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04376" w:rsidRDefault="00604376" w:rsidP="00604376">
      <w:pPr>
        <w:spacing w:after="120"/>
        <w:rPr>
          <w:rFonts w:ascii="Times New Roman" w:hAnsi="Times New Roman" w:cs="Times New Roman"/>
          <w:sz w:val="24"/>
          <w:szCs w:val="24"/>
        </w:rPr>
      </w:pPr>
      <w:r>
        <w:rPr>
          <w:rFonts w:ascii="Times New Roman" w:hAnsi="Times New Roman" w:cs="Times New Roman"/>
          <w:sz w:val="24"/>
          <w:szCs w:val="24"/>
        </w:rPr>
        <w:t>Personal relief Kshs. 1, 162 per month</w:t>
      </w:r>
    </w:p>
    <w:p w:rsidR="00604376" w:rsidRDefault="00604376" w:rsidP="00604376">
      <w:pPr>
        <w:spacing w:after="120" w:line="360" w:lineRule="auto"/>
        <w:rPr>
          <w:rFonts w:ascii="Times New Roman" w:hAnsi="Times New Roman" w:cs="Times New Roman"/>
          <w:sz w:val="24"/>
          <w:szCs w:val="24"/>
        </w:rPr>
      </w:pPr>
      <w:r>
        <w:rPr>
          <w:rFonts w:ascii="Times New Roman" w:hAnsi="Times New Roman" w:cs="Times New Roman"/>
          <w:sz w:val="24"/>
          <w:szCs w:val="24"/>
        </w:rPr>
        <w:t>Insurance Relief</w:t>
      </w:r>
      <w:r w:rsidR="006A6E75">
        <w:rPr>
          <w:rFonts w:ascii="Times New Roman" w:hAnsi="Times New Roman" w:cs="Times New Roman"/>
          <w:sz w:val="24"/>
          <w:szCs w:val="24"/>
        </w:rPr>
        <w:t xml:space="preserve">   15% of the contribution </w:t>
      </w:r>
    </w:p>
    <w:p w:rsidR="00604376" w:rsidRDefault="00604376" w:rsidP="00604376">
      <w:pPr>
        <w:spacing w:after="120" w:line="360" w:lineRule="auto"/>
        <w:ind w:left="7920"/>
        <w:rPr>
          <w:rFonts w:ascii="Times New Roman" w:hAnsi="Times New Roman" w:cs="Times New Roman"/>
          <w:sz w:val="24"/>
          <w:szCs w:val="24"/>
        </w:rPr>
      </w:pPr>
      <w:r>
        <w:rPr>
          <w:rFonts w:ascii="Times New Roman" w:hAnsi="Times New Roman" w:cs="Times New Roman"/>
          <w:sz w:val="24"/>
          <w:szCs w:val="24"/>
        </w:rPr>
        <w:t xml:space="preserve">(10 marks) </w:t>
      </w:r>
    </w:p>
    <w:p w:rsidR="00B03F5B" w:rsidRPr="00AC3828" w:rsidRDefault="00B03F5B" w:rsidP="00B03F5B">
      <w:pPr>
        <w:spacing w:after="120" w:line="360" w:lineRule="auto"/>
        <w:rPr>
          <w:rFonts w:ascii="Times New Roman" w:hAnsi="Times New Roman" w:cs="Times New Roman"/>
          <w:b/>
          <w:sz w:val="24"/>
          <w:szCs w:val="24"/>
        </w:rPr>
      </w:pPr>
      <w:r w:rsidRPr="00AC3828">
        <w:rPr>
          <w:rFonts w:ascii="Times New Roman" w:hAnsi="Times New Roman" w:cs="Times New Roman"/>
          <w:b/>
          <w:sz w:val="24"/>
          <w:szCs w:val="24"/>
        </w:rPr>
        <w:lastRenderedPageBreak/>
        <w:t>QUESTION TWO (20 MARKS)</w:t>
      </w:r>
    </w:p>
    <w:p w:rsidR="00B03F5B" w:rsidRDefault="00B03F5B" w:rsidP="00B03F5B">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justification for applying quantitative ceilings on investments of retirement benefit funds as per Table G of the Retirement Benefits Regulations.  </w:t>
      </w:r>
      <w:r w:rsidR="00AC3828">
        <w:rPr>
          <w:rFonts w:ascii="Times New Roman" w:hAnsi="Times New Roman" w:cs="Times New Roman"/>
          <w:sz w:val="24"/>
          <w:szCs w:val="24"/>
        </w:rPr>
        <w:tab/>
      </w:r>
      <w:r>
        <w:rPr>
          <w:rFonts w:ascii="Times New Roman" w:hAnsi="Times New Roman" w:cs="Times New Roman"/>
          <w:sz w:val="24"/>
          <w:szCs w:val="24"/>
        </w:rPr>
        <w:t>(8 marks)</w:t>
      </w:r>
    </w:p>
    <w:p w:rsidR="00B03F5B" w:rsidRDefault="00B03F5B" w:rsidP="00B03F5B">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Table G of Retirement Benefits Regulation lists the broad classes of investible assets permitted and the ceilings per each broad category of assets. </w:t>
      </w:r>
    </w:p>
    <w:tbl>
      <w:tblPr>
        <w:tblStyle w:val="TableGrid"/>
        <w:tblW w:w="0" w:type="auto"/>
        <w:tblInd w:w="360" w:type="dxa"/>
        <w:tblLook w:val="04A0"/>
      </w:tblPr>
      <w:tblGrid>
        <w:gridCol w:w="882"/>
        <w:gridCol w:w="6521"/>
        <w:gridCol w:w="1813"/>
      </w:tblGrid>
      <w:tr w:rsidR="00B03F5B" w:rsidTr="004A41E2">
        <w:tc>
          <w:tcPr>
            <w:tcW w:w="9216" w:type="dxa"/>
            <w:gridSpan w:val="3"/>
          </w:tcPr>
          <w:p w:rsidR="00B03F5B" w:rsidRPr="000D36AC" w:rsidRDefault="00B03F5B" w:rsidP="00B03F5B">
            <w:pPr>
              <w:spacing w:after="120"/>
              <w:rPr>
                <w:rFonts w:ascii="Times New Roman" w:hAnsi="Times New Roman" w:cs="Times New Roman"/>
                <w:b/>
                <w:sz w:val="24"/>
                <w:szCs w:val="24"/>
              </w:rPr>
            </w:pPr>
            <w:r w:rsidRPr="000D36AC">
              <w:rPr>
                <w:rFonts w:ascii="Times New Roman" w:hAnsi="Times New Roman" w:cs="Times New Roman"/>
                <w:b/>
                <w:sz w:val="24"/>
                <w:szCs w:val="24"/>
              </w:rPr>
              <w:t xml:space="preserve">TABLE G:  INVESTIMENT GUIDELINES </w:t>
            </w:r>
          </w:p>
        </w:tc>
      </w:tr>
      <w:tr w:rsidR="00B03F5B" w:rsidTr="00B03F5B">
        <w:tc>
          <w:tcPr>
            <w:tcW w:w="882" w:type="dxa"/>
          </w:tcPr>
          <w:p w:rsidR="00B03F5B" w:rsidRDefault="00B03F5B" w:rsidP="00B03F5B">
            <w:pPr>
              <w:spacing w:after="120"/>
              <w:rPr>
                <w:rFonts w:ascii="Times New Roman" w:hAnsi="Times New Roman" w:cs="Times New Roman"/>
                <w:sz w:val="24"/>
                <w:szCs w:val="24"/>
              </w:rPr>
            </w:pPr>
            <w:r>
              <w:rPr>
                <w:rFonts w:ascii="Times New Roman" w:hAnsi="Times New Roman" w:cs="Times New Roman"/>
                <w:sz w:val="24"/>
                <w:szCs w:val="24"/>
              </w:rPr>
              <w:t xml:space="preserve">Item </w:t>
            </w:r>
          </w:p>
        </w:tc>
        <w:tc>
          <w:tcPr>
            <w:tcW w:w="6521" w:type="dxa"/>
          </w:tcPr>
          <w:p w:rsidR="00B03F5B" w:rsidRDefault="00B03F5B" w:rsidP="00B03F5B">
            <w:pPr>
              <w:spacing w:after="120"/>
              <w:rPr>
                <w:rFonts w:ascii="Times New Roman" w:hAnsi="Times New Roman" w:cs="Times New Roman"/>
                <w:sz w:val="24"/>
                <w:szCs w:val="24"/>
              </w:rPr>
            </w:pPr>
            <w:r>
              <w:rPr>
                <w:rFonts w:ascii="Times New Roman" w:hAnsi="Times New Roman" w:cs="Times New Roman"/>
                <w:sz w:val="24"/>
                <w:szCs w:val="24"/>
              </w:rPr>
              <w:t xml:space="preserve">Category of Assets </w:t>
            </w:r>
          </w:p>
        </w:tc>
        <w:tc>
          <w:tcPr>
            <w:tcW w:w="1813" w:type="dxa"/>
          </w:tcPr>
          <w:p w:rsidR="00B03F5B" w:rsidRDefault="00B03F5B" w:rsidP="00B03F5B">
            <w:pPr>
              <w:spacing w:after="120"/>
              <w:rPr>
                <w:rFonts w:ascii="Times New Roman" w:hAnsi="Times New Roman" w:cs="Times New Roman"/>
                <w:sz w:val="24"/>
                <w:szCs w:val="24"/>
              </w:rPr>
            </w:pPr>
            <w:r>
              <w:rPr>
                <w:rFonts w:ascii="Times New Roman" w:hAnsi="Times New Roman" w:cs="Times New Roman"/>
                <w:sz w:val="24"/>
                <w:szCs w:val="24"/>
              </w:rPr>
              <w:t xml:space="preserve">Macimum percentage of aggregate market value </w:t>
            </w:r>
          </w:p>
        </w:tc>
      </w:tr>
      <w:tr w:rsidR="00B03F5B" w:rsidTr="00B03F5B">
        <w:tc>
          <w:tcPr>
            <w:tcW w:w="882" w:type="dxa"/>
          </w:tcPr>
          <w:p w:rsidR="00B03F5B" w:rsidRPr="00B03F5B" w:rsidRDefault="00B03F5B" w:rsidP="00B03F5B">
            <w:pPr>
              <w:pStyle w:val="ListParagraph"/>
              <w:numPr>
                <w:ilvl w:val="0"/>
                <w:numId w:val="28"/>
              </w:numPr>
              <w:spacing w:after="120"/>
              <w:rPr>
                <w:rFonts w:ascii="Times New Roman" w:hAnsi="Times New Roman" w:cs="Times New Roman"/>
                <w:sz w:val="24"/>
                <w:szCs w:val="24"/>
              </w:rPr>
            </w:pPr>
          </w:p>
        </w:tc>
        <w:tc>
          <w:tcPr>
            <w:tcW w:w="6521" w:type="dxa"/>
          </w:tcPr>
          <w:p w:rsidR="00B03F5B" w:rsidRDefault="00B03F5B" w:rsidP="00B03F5B">
            <w:pPr>
              <w:spacing w:after="120"/>
              <w:rPr>
                <w:rFonts w:ascii="Times New Roman" w:hAnsi="Times New Roman" w:cs="Times New Roman"/>
                <w:sz w:val="24"/>
                <w:szCs w:val="24"/>
              </w:rPr>
            </w:pPr>
            <w:r>
              <w:rPr>
                <w:rFonts w:ascii="Times New Roman" w:hAnsi="Times New Roman" w:cs="Times New Roman"/>
                <w:sz w:val="24"/>
                <w:szCs w:val="24"/>
              </w:rPr>
              <w:t xml:space="preserve">Cash and Demand Deposits in licensed institutions  </w:t>
            </w:r>
          </w:p>
        </w:tc>
        <w:tc>
          <w:tcPr>
            <w:tcW w:w="1813" w:type="dxa"/>
          </w:tcPr>
          <w:p w:rsidR="00B03F5B" w:rsidRDefault="00B03F5B" w:rsidP="00B03F5B">
            <w:pPr>
              <w:spacing w:after="120"/>
              <w:rPr>
                <w:rFonts w:ascii="Times New Roman" w:hAnsi="Times New Roman" w:cs="Times New Roman"/>
                <w:sz w:val="24"/>
                <w:szCs w:val="24"/>
              </w:rPr>
            </w:pPr>
            <w:r>
              <w:rPr>
                <w:rFonts w:ascii="Times New Roman" w:hAnsi="Times New Roman" w:cs="Times New Roman"/>
                <w:sz w:val="24"/>
                <w:szCs w:val="24"/>
              </w:rPr>
              <w:t>5%</w:t>
            </w:r>
          </w:p>
        </w:tc>
      </w:tr>
      <w:tr w:rsidR="00B03F5B" w:rsidTr="00B03F5B">
        <w:tc>
          <w:tcPr>
            <w:tcW w:w="882" w:type="dxa"/>
          </w:tcPr>
          <w:p w:rsidR="00B03F5B" w:rsidRPr="00B03F5B" w:rsidRDefault="00B03F5B" w:rsidP="00B03F5B">
            <w:pPr>
              <w:pStyle w:val="ListParagraph"/>
              <w:numPr>
                <w:ilvl w:val="0"/>
                <w:numId w:val="28"/>
              </w:numPr>
              <w:spacing w:after="120"/>
              <w:rPr>
                <w:rFonts w:ascii="Times New Roman" w:hAnsi="Times New Roman" w:cs="Times New Roman"/>
                <w:sz w:val="24"/>
                <w:szCs w:val="24"/>
              </w:rPr>
            </w:pPr>
          </w:p>
        </w:tc>
        <w:tc>
          <w:tcPr>
            <w:tcW w:w="6521" w:type="dxa"/>
          </w:tcPr>
          <w:p w:rsidR="00B03F5B" w:rsidRDefault="00B03F5B" w:rsidP="00B03F5B">
            <w:pPr>
              <w:spacing w:after="120"/>
              <w:rPr>
                <w:rFonts w:ascii="Times New Roman" w:hAnsi="Times New Roman" w:cs="Times New Roman"/>
                <w:sz w:val="24"/>
                <w:szCs w:val="24"/>
              </w:rPr>
            </w:pPr>
            <w:r>
              <w:rPr>
                <w:rFonts w:ascii="Times New Roman" w:hAnsi="Times New Roman" w:cs="Times New Roman"/>
                <w:sz w:val="24"/>
                <w:szCs w:val="24"/>
              </w:rPr>
              <w:t xml:space="preserve">Fixed Deposits, Time Deposits and Certificates of Deposits </w:t>
            </w:r>
          </w:p>
        </w:tc>
        <w:tc>
          <w:tcPr>
            <w:tcW w:w="1813" w:type="dxa"/>
          </w:tcPr>
          <w:p w:rsidR="00B03F5B" w:rsidRDefault="00B03F5B" w:rsidP="00B03F5B">
            <w:pPr>
              <w:spacing w:after="120"/>
              <w:rPr>
                <w:rFonts w:ascii="Times New Roman" w:hAnsi="Times New Roman" w:cs="Times New Roman"/>
                <w:sz w:val="24"/>
                <w:szCs w:val="24"/>
              </w:rPr>
            </w:pPr>
            <w:r>
              <w:rPr>
                <w:rFonts w:ascii="Times New Roman" w:hAnsi="Times New Roman" w:cs="Times New Roman"/>
                <w:sz w:val="24"/>
                <w:szCs w:val="24"/>
              </w:rPr>
              <w:t>30%</w:t>
            </w:r>
          </w:p>
        </w:tc>
      </w:tr>
      <w:tr w:rsidR="00B03F5B" w:rsidTr="00B03F5B">
        <w:tc>
          <w:tcPr>
            <w:tcW w:w="882" w:type="dxa"/>
          </w:tcPr>
          <w:p w:rsidR="00B03F5B" w:rsidRPr="00B03F5B" w:rsidRDefault="00B03F5B" w:rsidP="00B03F5B">
            <w:pPr>
              <w:pStyle w:val="ListParagraph"/>
              <w:numPr>
                <w:ilvl w:val="0"/>
                <w:numId w:val="28"/>
              </w:numPr>
              <w:spacing w:after="120"/>
              <w:rPr>
                <w:rFonts w:ascii="Times New Roman" w:hAnsi="Times New Roman" w:cs="Times New Roman"/>
                <w:sz w:val="24"/>
                <w:szCs w:val="24"/>
              </w:rPr>
            </w:pPr>
          </w:p>
        </w:tc>
        <w:tc>
          <w:tcPr>
            <w:tcW w:w="6521" w:type="dxa"/>
          </w:tcPr>
          <w:p w:rsidR="00B03F5B" w:rsidRDefault="00B03F5B" w:rsidP="00B03F5B">
            <w:pPr>
              <w:spacing w:after="120"/>
              <w:rPr>
                <w:rFonts w:ascii="Times New Roman" w:hAnsi="Times New Roman" w:cs="Times New Roman"/>
                <w:sz w:val="24"/>
                <w:szCs w:val="24"/>
              </w:rPr>
            </w:pPr>
            <w:r>
              <w:rPr>
                <w:rFonts w:ascii="Times New Roman" w:hAnsi="Times New Roman" w:cs="Times New Roman"/>
                <w:sz w:val="24"/>
                <w:szCs w:val="24"/>
              </w:rPr>
              <w:t>Commercial paper, Corporate Bonds, Mortgage Bonds and loan stocks</w:t>
            </w:r>
          </w:p>
        </w:tc>
        <w:tc>
          <w:tcPr>
            <w:tcW w:w="1813" w:type="dxa"/>
          </w:tcPr>
          <w:p w:rsidR="00B03F5B" w:rsidRDefault="00B03F5B" w:rsidP="00B03F5B">
            <w:pPr>
              <w:spacing w:after="120"/>
              <w:rPr>
                <w:rFonts w:ascii="Times New Roman" w:hAnsi="Times New Roman" w:cs="Times New Roman"/>
                <w:sz w:val="24"/>
                <w:szCs w:val="24"/>
              </w:rPr>
            </w:pPr>
            <w:r>
              <w:rPr>
                <w:rFonts w:ascii="Times New Roman" w:hAnsi="Times New Roman" w:cs="Times New Roman"/>
                <w:sz w:val="24"/>
                <w:szCs w:val="24"/>
              </w:rPr>
              <w:t>30%</w:t>
            </w:r>
          </w:p>
        </w:tc>
      </w:tr>
      <w:tr w:rsidR="00B03F5B" w:rsidTr="00B03F5B">
        <w:tc>
          <w:tcPr>
            <w:tcW w:w="882" w:type="dxa"/>
          </w:tcPr>
          <w:p w:rsidR="00B03F5B" w:rsidRPr="00B03F5B" w:rsidRDefault="00B03F5B" w:rsidP="00B03F5B">
            <w:pPr>
              <w:pStyle w:val="ListParagraph"/>
              <w:numPr>
                <w:ilvl w:val="0"/>
                <w:numId w:val="28"/>
              </w:numPr>
              <w:spacing w:after="120"/>
              <w:rPr>
                <w:rFonts w:ascii="Times New Roman" w:hAnsi="Times New Roman" w:cs="Times New Roman"/>
                <w:sz w:val="24"/>
                <w:szCs w:val="24"/>
              </w:rPr>
            </w:pPr>
          </w:p>
        </w:tc>
        <w:tc>
          <w:tcPr>
            <w:tcW w:w="6521" w:type="dxa"/>
          </w:tcPr>
          <w:p w:rsidR="00B03F5B" w:rsidRDefault="00B03F5B" w:rsidP="00B03F5B">
            <w:pPr>
              <w:spacing w:after="120"/>
              <w:rPr>
                <w:rFonts w:ascii="Times New Roman" w:hAnsi="Times New Roman" w:cs="Times New Roman"/>
                <w:sz w:val="24"/>
                <w:szCs w:val="24"/>
              </w:rPr>
            </w:pPr>
            <w:r>
              <w:rPr>
                <w:rFonts w:ascii="Times New Roman" w:hAnsi="Times New Roman" w:cs="Times New Roman"/>
                <w:sz w:val="24"/>
                <w:szCs w:val="24"/>
              </w:rPr>
              <w:t xml:space="preserve">Kenya Government Securities </w:t>
            </w:r>
          </w:p>
        </w:tc>
        <w:tc>
          <w:tcPr>
            <w:tcW w:w="1813" w:type="dxa"/>
          </w:tcPr>
          <w:p w:rsidR="00B03F5B" w:rsidRDefault="00B03F5B" w:rsidP="00B03F5B">
            <w:pPr>
              <w:spacing w:after="120"/>
              <w:rPr>
                <w:rFonts w:ascii="Times New Roman" w:hAnsi="Times New Roman" w:cs="Times New Roman"/>
                <w:sz w:val="24"/>
                <w:szCs w:val="24"/>
              </w:rPr>
            </w:pPr>
            <w:r>
              <w:rPr>
                <w:rFonts w:ascii="Times New Roman" w:hAnsi="Times New Roman" w:cs="Times New Roman"/>
                <w:sz w:val="24"/>
                <w:szCs w:val="24"/>
              </w:rPr>
              <w:t>70%</w:t>
            </w:r>
          </w:p>
        </w:tc>
      </w:tr>
      <w:tr w:rsidR="00B03F5B" w:rsidTr="00B03F5B">
        <w:tc>
          <w:tcPr>
            <w:tcW w:w="882" w:type="dxa"/>
          </w:tcPr>
          <w:p w:rsidR="00B03F5B" w:rsidRPr="00B03F5B" w:rsidRDefault="00B03F5B" w:rsidP="00B03F5B">
            <w:pPr>
              <w:pStyle w:val="ListParagraph"/>
              <w:numPr>
                <w:ilvl w:val="0"/>
                <w:numId w:val="28"/>
              </w:numPr>
              <w:spacing w:after="120"/>
              <w:rPr>
                <w:rFonts w:ascii="Times New Roman" w:hAnsi="Times New Roman" w:cs="Times New Roman"/>
                <w:sz w:val="24"/>
                <w:szCs w:val="24"/>
              </w:rPr>
            </w:pPr>
          </w:p>
        </w:tc>
        <w:tc>
          <w:tcPr>
            <w:tcW w:w="6521" w:type="dxa"/>
          </w:tcPr>
          <w:p w:rsidR="00B03F5B" w:rsidRDefault="00B03F5B" w:rsidP="00B03F5B">
            <w:pPr>
              <w:spacing w:after="120"/>
              <w:rPr>
                <w:rFonts w:ascii="Times New Roman" w:hAnsi="Times New Roman" w:cs="Times New Roman"/>
                <w:sz w:val="24"/>
                <w:szCs w:val="24"/>
              </w:rPr>
            </w:pPr>
            <w:r>
              <w:rPr>
                <w:rFonts w:ascii="Times New Roman" w:hAnsi="Times New Roman" w:cs="Times New Roman"/>
                <w:sz w:val="24"/>
                <w:szCs w:val="24"/>
              </w:rPr>
              <w:t>Preference shares and ordinary shares of companies quoted in a stock exchange in Kenya, Uganda or TZ</w:t>
            </w:r>
          </w:p>
        </w:tc>
        <w:tc>
          <w:tcPr>
            <w:tcW w:w="1813" w:type="dxa"/>
          </w:tcPr>
          <w:p w:rsidR="00B03F5B" w:rsidRDefault="00B03F5B" w:rsidP="00B03F5B">
            <w:pPr>
              <w:spacing w:after="120"/>
              <w:rPr>
                <w:rFonts w:ascii="Times New Roman" w:hAnsi="Times New Roman" w:cs="Times New Roman"/>
                <w:sz w:val="24"/>
                <w:szCs w:val="24"/>
              </w:rPr>
            </w:pPr>
            <w:r>
              <w:rPr>
                <w:rFonts w:ascii="Times New Roman" w:hAnsi="Times New Roman" w:cs="Times New Roman"/>
                <w:sz w:val="24"/>
                <w:szCs w:val="24"/>
              </w:rPr>
              <w:t>70%</w:t>
            </w:r>
          </w:p>
        </w:tc>
      </w:tr>
      <w:tr w:rsidR="00B03F5B" w:rsidTr="00B03F5B">
        <w:tc>
          <w:tcPr>
            <w:tcW w:w="882" w:type="dxa"/>
          </w:tcPr>
          <w:p w:rsidR="00B03F5B" w:rsidRPr="00B03F5B" w:rsidRDefault="00B03F5B" w:rsidP="00B03F5B">
            <w:pPr>
              <w:pStyle w:val="ListParagraph"/>
              <w:numPr>
                <w:ilvl w:val="0"/>
                <w:numId w:val="28"/>
              </w:numPr>
              <w:spacing w:after="120"/>
              <w:rPr>
                <w:rFonts w:ascii="Times New Roman" w:hAnsi="Times New Roman" w:cs="Times New Roman"/>
                <w:sz w:val="24"/>
                <w:szCs w:val="24"/>
              </w:rPr>
            </w:pPr>
          </w:p>
        </w:tc>
        <w:tc>
          <w:tcPr>
            <w:tcW w:w="6521" w:type="dxa"/>
          </w:tcPr>
          <w:p w:rsidR="00B03F5B" w:rsidRDefault="00AC3828" w:rsidP="00B03F5B">
            <w:pPr>
              <w:spacing w:after="120"/>
              <w:rPr>
                <w:rFonts w:ascii="Times New Roman" w:hAnsi="Times New Roman" w:cs="Times New Roman"/>
                <w:sz w:val="24"/>
                <w:szCs w:val="24"/>
              </w:rPr>
            </w:pPr>
            <w:r>
              <w:rPr>
                <w:rFonts w:ascii="Times New Roman" w:hAnsi="Times New Roman" w:cs="Times New Roman"/>
                <w:sz w:val="24"/>
                <w:szCs w:val="24"/>
              </w:rPr>
              <w:t xml:space="preserve">Unquoted shares of companies incorporated in Kenya.  </w:t>
            </w:r>
          </w:p>
        </w:tc>
        <w:tc>
          <w:tcPr>
            <w:tcW w:w="1813" w:type="dxa"/>
          </w:tcPr>
          <w:p w:rsidR="00B03F5B" w:rsidRDefault="00AC3828" w:rsidP="00B03F5B">
            <w:pPr>
              <w:spacing w:after="120"/>
              <w:rPr>
                <w:rFonts w:ascii="Times New Roman" w:hAnsi="Times New Roman" w:cs="Times New Roman"/>
                <w:sz w:val="24"/>
                <w:szCs w:val="24"/>
              </w:rPr>
            </w:pPr>
            <w:r>
              <w:rPr>
                <w:rFonts w:ascii="Times New Roman" w:hAnsi="Times New Roman" w:cs="Times New Roman"/>
                <w:sz w:val="24"/>
                <w:szCs w:val="24"/>
              </w:rPr>
              <w:t>5%</w:t>
            </w:r>
          </w:p>
        </w:tc>
      </w:tr>
      <w:tr w:rsidR="00B03F5B" w:rsidTr="00B03F5B">
        <w:tc>
          <w:tcPr>
            <w:tcW w:w="882" w:type="dxa"/>
          </w:tcPr>
          <w:p w:rsidR="00B03F5B" w:rsidRPr="00B03F5B" w:rsidRDefault="00B03F5B" w:rsidP="00B03F5B">
            <w:pPr>
              <w:pStyle w:val="ListParagraph"/>
              <w:numPr>
                <w:ilvl w:val="0"/>
                <w:numId w:val="28"/>
              </w:numPr>
              <w:spacing w:after="120"/>
              <w:rPr>
                <w:rFonts w:ascii="Times New Roman" w:hAnsi="Times New Roman" w:cs="Times New Roman"/>
                <w:sz w:val="24"/>
                <w:szCs w:val="24"/>
              </w:rPr>
            </w:pPr>
          </w:p>
        </w:tc>
        <w:tc>
          <w:tcPr>
            <w:tcW w:w="6521" w:type="dxa"/>
          </w:tcPr>
          <w:p w:rsidR="00B03F5B" w:rsidRDefault="00AC3828" w:rsidP="00B03F5B">
            <w:pPr>
              <w:spacing w:after="120"/>
              <w:rPr>
                <w:rFonts w:ascii="Times New Roman" w:hAnsi="Times New Roman" w:cs="Times New Roman"/>
                <w:sz w:val="24"/>
                <w:szCs w:val="24"/>
              </w:rPr>
            </w:pPr>
            <w:r>
              <w:rPr>
                <w:rFonts w:ascii="Times New Roman" w:hAnsi="Times New Roman" w:cs="Times New Roman"/>
                <w:sz w:val="24"/>
                <w:szCs w:val="24"/>
              </w:rPr>
              <w:t xml:space="preserve">Offshore investments in bank deposits, government securities, quoted equities and rated Corporate Bonds and offshore collective investment schemes.  </w:t>
            </w:r>
          </w:p>
        </w:tc>
        <w:tc>
          <w:tcPr>
            <w:tcW w:w="1813" w:type="dxa"/>
          </w:tcPr>
          <w:p w:rsidR="00B03F5B" w:rsidRDefault="00AC3828" w:rsidP="00B03F5B">
            <w:pPr>
              <w:spacing w:after="120"/>
              <w:rPr>
                <w:rFonts w:ascii="Times New Roman" w:hAnsi="Times New Roman" w:cs="Times New Roman"/>
                <w:sz w:val="24"/>
                <w:szCs w:val="24"/>
              </w:rPr>
            </w:pPr>
            <w:r>
              <w:rPr>
                <w:rFonts w:ascii="Times New Roman" w:hAnsi="Times New Roman" w:cs="Times New Roman"/>
                <w:sz w:val="24"/>
                <w:szCs w:val="24"/>
              </w:rPr>
              <w:t>15%</w:t>
            </w:r>
          </w:p>
        </w:tc>
      </w:tr>
      <w:tr w:rsidR="00B03F5B" w:rsidTr="00B03F5B">
        <w:tc>
          <w:tcPr>
            <w:tcW w:w="882" w:type="dxa"/>
          </w:tcPr>
          <w:p w:rsidR="00B03F5B" w:rsidRPr="00B03F5B" w:rsidRDefault="00B03F5B" w:rsidP="00B03F5B">
            <w:pPr>
              <w:pStyle w:val="ListParagraph"/>
              <w:numPr>
                <w:ilvl w:val="0"/>
                <w:numId w:val="28"/>
              </w:numPr>
              <w:spacing w:after="120"/>
              <w:rPr>
                <w:rFonts w:ascii="Times New Roman" w:hAnsi="Times New Roman" w:cs="Times New Roman"/>
                <w:sz w:val="24"/>
                <w:szCs w:val="24"/>
              </w:rPr>
            </w:pPr>
          </w:p>
        </w:tc>
        <w:tc>
          <w:tcPr>
            <w:tcW w:w="6521" w:type="dxa"/>
          </w:tcPr>
          <w:p w:rsidR="00B03F5B" w:rsidRDefault="00AC3828" w:rsidP="00B03F5B">
            <w:pPr>
              <w:spacing w:after="120"/>
              <w:rPr>
                <w:rFonts w:ascii="Times New Roman" w:hAnsi="Times New Roman" w:cs="Times New Roman"/>
                <w:sz w:val="24"/>
                <w:szCs w:val="24"/>
              </w:rPr>
            </w:pPr>
            <w:r>
              <w:rPr>
                <w:rFonts w:ascii="Times New Roman" w:hAnsi="Times New Roman" w:cs="Times New Roman"/>
                <w:sz w:val="24"/>
                <w:szCs w:val="24"/>
              </w:rPr>
              <w:t>Immovable property in Kenya and units in property unit</w:t>
            </w:r>
          </w:p>
        </w:tc>
        <w:tc>
          <w:tcPr>
            <w:tcW w:w="1813" w:type="dxa"/>
          </w:tcPr>
          <w:p w:rsidR="00B03F5B" w:rsidRDefault="00AC3828" w:rsidP="00B03F5B">
            <w:pPr>
              <w:spacing w:after="120"/>
              <w:rPr>
                <w:rFonts w:ascii="Times New Roman" w:hAnsi="Times New Roman" w:cs="Times New Roman"/>
                <w:sz w:val="24"/>
                <w:szCs w:val="24"/>
              </w:rPr>
            </w:pPr>
            <w:r>
              <w:rPr>
                <w:rFonts w:ascii="Times New Roman" w:hAnsi="Times New Roman" w:cs="Times New Roman"/>
                <w:sz w:val="24"/>
                <w:szCs w:val="24"/>
              </w:rPr>
              <w:t>30%</w:t>
            </w:r>
          </w:p>
        </w:tc>
      </w:tr>
      <w:tr w:rsidR="00B03F5B" w:rsidTr="00B03F5B">
        <w:tc>
          <w:tcPr>
            <w:tcW w:w="882" w:type="dxa"/>
          </w:tcPr>
          <w:p w:rsidR="00B03F5B" w:rsidRPr="00B03F5B" w:rsidRDefault="00B03F5B" w:rsidP="00B03F5B">
            <w:pPr>
              <w:pStyle w:val="ListParagraph"/>
              <w:numPr>
                <w:ilvl w:val="0"/>
                <w:numId w:val="28"/>
              </w:numPr>
              <w:spacing w:after="120"/>
              <w:rPr>
                <w:rFonts w:ascii="Times New Roman" w:hAnsi="Times New Roman" w:cs="Times New Roman"/>
                <w:sz w:val="24"/>
                <w:szCs w:val="24"/>
              </w:rPr>
            </w:pPr>
          </w:p>
        </w:tc>
        <w:tc>
          <w:tcPr>
            <w:tcW w:w="6521" w:type="dxa"/>
          </w:tcPr>
          <w:p w:rsidR="00B03F5B" w:rsidRDefault="00AC3828" w:rsidP="00B03F5B">
            <w:pPr>
              <w:spacing w:after="120"/>
              <w:rPr>
                <w:rFonts w:ascii="Times New Roman" w:hAnsi="Times New Roman" w:cs="Times New Roman"/>
                <w:sz w:val="24"/>
                <w:szCs w:val="24"/>
              </w:rPr>
            </w:pPr>
            <w:r>
              <w:rPr>
                <w:rFonts w:ascii="Times New Roman" w:hAnsi="Times New Roman" w:cs="Times New Roman"/>
                <w:sz w:val="24"/>
                <w:szCs w:val="24"/>
              </w:rPr>
              <w:t>Guaranteed Funds.</w:t>
            </w:r>
          </w:p>
        </w:tc>
        <w:tc>
          <w:tcPr>
            <w:tcW w:w="1813" w:type="dxa"/>
          </w:tcPr>
          <w:p w:rsidR="00B03F5B" w:rsidRDefault="00AC3828" w:rsidP="00B03F5B">
            <w:pPr>
              <w:spacing w:after="120"/>
              <w:rPr>
                <w:rFonts w:ascii="Times New Roman" w:hAnsi="Times New Roman" w:cs="Times New Roman"/>
                <w:sz w:val="24"/>
                <w:szCs w:val="24"/>
              </w:rPr>
            </w:pPr>
            <w:r>
              <w:rPr>
                <w:rFonts w:ascii="Times New Roman" w:hAnsi="Times New Roman" w:cs="Times New Roman"/>
                <w:sz w:val="24"/>
                <w:szCs w:val="24"/>
              </w:rPr>
              <w:t>100%</w:t>
            </w:r>
          </w:p>
        </w:tc>
      </w:tr>
      <w:tr w:rsidR="00B03F5B" w:rsidTr="00B03F5B">
        <w:tc>
          <w:tcPr>
            <w:tcW w:w="882" w:type="dxa"/>
          </w:tcPr>
          <w:p w:rsidR="00B03F5B" w:rsidRPr="00B03F5B" w:rsidRDefault="00B03F5B" w:rsidP="00B03F5B">
            <w:pPr>
              <w:pStyle w:val="ListParagraph"/>
              <w:numPr>
                <w:ilvl w:val="0"/>
                <w:numId w:val="28"/>
              </w:numPr>
              <w:spacing w:after="120"/>
              <w:rPr>
                <w:rFonts w:ascii="Times New Roman" w:hAnsi="Times New Roman" w:cs="Times New Roman"/>
                <w:sz w:val="24"/>
                <w:szCs w:val="24"/>
              </w:rPr>
            </w:pPr>
          </w:p>
        </w:tc>
        <w:tc>
          <w:tcPr>
            <w:tcW w:w="6521" w:type="dxa"/>
          </w:tcPr>
          <w:p w:rsidR="00B03F5B" w:rsidRDefault="00AC3828" w:rsidP="00B03F5B">
            <w:pPr>
              <w:spacing w:after="120"/>
              <w:rPr>
                <w:rFonts w:ascii="Times New Roman" w:hAnsi="Times New Roman" w:cs="Times New Roman"/>
                <w:sz w:val="24"/>
                <w:szCs w:val="24"/>
              </w:rPr>
            </w:pPr>
            <w:r>
              <w:rPr>
                <w:rFonts w:ascii="Times New Roman" w:hAnsi="Times New Roman" w:cs="Times New Roman"/>
                <w:sz w:val="24"/>
                <w:szCs w:val="24"/>
              </w:rPr>
              <w:t>Any other assets</w:t>
            </w:r>
          </w:p>
        </w:tc>
        <w:tc>
          <w:tcPr>
            <w:tcW w:w="1813" w:type="dxa"/>
          </w:tcPr>
          <w:p w:rsidR="00B03F5B" w:rsidRDefault="00AC3828" w:rsidP="00B03F5B">
            <w:pPr>
              <w:spacing w:after="120"/>
              <w:rPr>
                <w:rFonts w:ascii="Times New Roman" w:hAnsi="Times New Roman" w:cs="Times New Roman"/>
                <w:sz w:val="24"/>
                <w:szCs w:val="24"/>
              </w:rPr>
            </w:pPr>
            <w:r>
              <w:rPr>
                <w:rFonts w:ascii="Times New Roman" w:hAnsi="Times New Roman" w:cs="Times New Roman"/>
                <w:sz w:val="24"/>
                <w:szCs w:val="24"/>
              </w:rPr>
              <w:t>5%</w:t>
            </w:r>
          </w:p>
        </w:tc>
      </w:tr>
    </w:tbl>
    <w:p w:rsidR="00B03F5B" w:rsidRDefault="00B03F5B" w:rsidP="00AC3828">
      <w:pPr>
        <w:spacing w:after="120" w:line="360" w:lineRule="auto"/>
        <w:rPr>
          <w:rFonts w:ascii="Times New Roman" w:hAnsi="Times New Roman" w:cs="Times New Roman"/>
          <w:sz w:val="24"/>
          <w:szCs w:val="24"/>
        </w:rPr>
      </w:pPr>
    </w:p>
    <w:p w:rsidR="00AC3828" w:rsidRDefault="00AC3828" w:rsidP="00AC3828">
      <w:pPr>
        <w:spacing w:after="120" w:line="360" w:lineRule="auto"/>
        <w:rPr>
          <w:rFonts w:ascii="Times New Roman" w:hAnsi="Times New Roman" w:cs="Times New Roman"/>
          <w:sz w:val="24"/>
          <w:szCs w:val="24"/>
        </w:rPr>
      </w:pPr>
      <w:r>
        <w:rPr>
          <w:rFonts w:ascii="Times New Roman" w:hAnsi="Times New Roman" w:cs="Times New Roman"/>
          <w:sz w:val="24"/>
          <w:szCs w:val="24"/>
        </w:rPr>
        <w:t>Required:</w:t>
      </w:r>
    </w:p>
    <w:p w:rsidR="00AC3828" w:rsidRDefault="00AC3828" w:rsidP="00AC3828">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Give a brief description of each of the category of assets 1 to 10.  </w:t>
      </w:r>
      <w:r w:rsidR="004B614E">
        <w:rPr>
          <w:rFonts w:ascii="Times New Roman" w:hAnsi="Times New Roman" w:cs="Times New Roman"/>
          <w:sz w:val="24"/>
          <w:szCs w:val="24"/>
        </w:rPr>
        <w:tab/>
      </w:r>
      <w:r w:rsidR="004B614E">
        <w:rPr>
          <w:rFonts w:ascii="Times New Roman" w:hAnsi="Times New Roman" w:cs="Times New Roman"/>
          <w:sz w:val="24"/>
          <w:szCs w:val="24"/>
        </w:rPr>
        <w:tab/>
      </w:r>
      <w:r w:rsidR="004B614E">
        <w:rPr>
          <w:rFonts w:ascii="Times New Roman" w:hAnsi="Times New Roman" w:cs="Times New Roman"/>
          <w:sz w:val="24"/>
          <w:szCs w:val="24"/>
        </w:rPr>
        <w:tab/>
      </w:r>
      <w:r>
        <w:rPr>
          <w:rFonts w:ascii="Times New Roman" w:hAnsi="Times New Roman" w:cs="Times New Roman"/>
          <w:sz w:val="24"/>
          <w:szCs w:val="24"/>
        </w:rPr>
        <w:t>(</w:t>
      </w:r>
      <w:r w:rsidR="006A6E75">
        <w:rPr>
          <w:rFonts w:ascii="Times New Roman" w:hAnsi="Times New Roman" w:cs="Times New Roman"/>
          <w:sz w:val="24"/>
          <w:szCs w:val="24"/>
        </w:rPr>
        <w:t>2</w:t>
      </w:r>
      <w:r>
        <w:rPr>
          <w:rFonts w:ascii="Times New Roman" w:hAnsi="Times New Roman" w:cs="Times New Roman"/>
          <w:sz w:val="24"/>
          <w:szCs w:val="24"/>
        </w:rPr>
        <w:t>0 marks)</w:t>
      </w:r>
    </w:p>
    <w:p w:rsidR="00AC3828" w:rsidRPr="004B614E" w:rsidRDefault="00AC3828" w:rsidP="00AC3828">
      <w:pPr>
        <w:spacing w:after="120" w:line="360" w:lineRule="auto"/>
        <w:rPr>
          <w:rFonts w:ascii="Times New Roman" w:hAnsi="Times New Roman" w:cs="Times New Roman"/>
          <w:b/>
          <w:sz w:val="24"/>
          <w:szCs w:val="24"/>
        </w:rPr>
      </w:pPr>
      <w:r w:rsidRPr="004B614E">
        <w:rPr>
          <w:rFonts w:ascii="Times New Roman" w:hAnsi="Times New Roman" w:cs="Times New Roman"/>
          <w:b/>
          <w:sz w:val="24"/>
          <w:szCs w:val="24"/>
        </w:rPr>
        <w:t>QUESTION THREE (20 MARKS)</w:t>
      </w:r>
    </w:p>
    <w:p w:rsidR="00AC3828" w:rsidRDefault="006A6E75" w:rsidP="00AC3828">
      <w:pPr>
        <w:pStyle w:val="ListParagraph"/>
        <w:numPr>
          <w:ilvl w:val="0"/>
          <w:numId w:val="29"/>
        </w:numPr>
        <w:spacing w:after="120" w:line="360" w:lineRule="auto"/>
        <w:rPr>
          <w:rFonts w:ascii="Times New Roman" w:hAnsi="Times New Roman" w:cs="Times New Roman"/>
          <w:sz w:val="24"/>
          <w:szCs w:val="24"/>
        </w:rPr>
      </w:pPr>
      <w:r>
        <w:rPr>
          <w:rFonts w:ascii="Times New Roman" w:hAnsi="Times New Roman" w:cs="Times New Roman"/>
          <w:sz w:val="24"/>
          <w:szCs w:val="24"/>
        </w:rPr>
        <w:t>The current reti</w:t>
      </w:r>
      <w:r w:rsidR="00AC3828">
        <w:rPr>
          <w:rFonts w:ascii="Times New Roman" w:hAnsi="Times New Roman" w:cs="Times New Roman"/>
          <w:sz w:val="24"/>
          <w:szCs w:val="24"/>
        </w:rPr>
        <w:t>rement benefits system in Kenya can be classified into four scheme types.</w:t>
      </w:r>
    </w:p>
    <w:p w:rsidR="00AC3828" w:rsidRDefault="00AC3828" w:rsidP="00AC3828">
      <w:pPr>
        <w:pStyle w:val="ListParagraph"/>
        <w:numPr>
          <w:ilvl w:val="0"/>
          <w:numId w:val="3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List the four scheme types.  </w:t>
      </w:r>
      <w:r w:rsidR="004B614E">
        <w:rPr>
          <w:rFonts w:ascii="Times New Roman" w:hAnsi="Times New Roman" w:cs="Times New Roman"/>
          <w:sz w:val="24"/>
          <w:szCs w:val="24"/>
        </w:rPr>
        <w:tab/>
      </w:r>
      <w:r w:rsidR="004B614E">
        <w:rPr>
          <w:rFonts w:ascii="Times New Roman" w:hAnsi="Times New Roman" w:cs="Times New Roman"/>
          <w:sz w:val="24"/>
          <w:szCs w:val="24"/>
        </w:rPr>
        <w:tab/>
      </w:r>
      <w:r w:rsidR="004B614E">
        <w:rPr>
          <w:rFonts w:ascii="Times New Roman" w:hAnsi="Times New Roman" w:cs="Times New Roman"/>
          <w:sz w:val="24"/>
          <w:szCs w:val="24"/>
        </w:rPr>
        <w:tab/>
      </w:r>
      <w:r w:rsidR="004B614E">
        <w:rPr>
          <w:rFonts w:ascii="Times New Roman" w:hAnsi="Times New Roman" w:cs="Times New Roman"/>
          <w:sz w:val="24"/>
          <w:szCs w:val="24"/>
        </w:rPr>
        <w:tab/>
      </w:r>
      <w:r w:rsidR="004B614E">
        <w:rPr>
          <w:rFonts w:ascii="Times New Roman" w:hAnsi="Times New Roman" w:cs="Times New Roman"/>
          <w:sz w:val="24"/>
          <w:szCs w:val="24"/>
        </w:rPr>
        <w:tab/>
      </w:r>
      <w:r w:rsidR="004B614E">
        <w:rPr>
          <w:rFonts w:ascii="Times New Roman" w:hAnsi="Times New Roman" w:cs="Times New Roman"/>
          <w:sz w:val="24"/>
          <w:szCs w:val="24"/>
        </w:rPr>
        <w:tab/>
      </w:r>
      <w:r>
        <w:rPr>
          <w:rFonts w:ascii="Times New Roman" w:hAnsi="Times New Roman" w:cs="Times New Roman"/>
          <w:sz w:val="24"/>
          <w:szCs w:val="24"/>
        </w:rPr>
        <w:t>(4 marks)</w:t>
      </w:r>
    </w:p>
    <w:p w:rsidR="00AC3828" w:rsidRDefault="00AC3828" w:rsidP="00AC3828">
      <w:pPr>
        <w:pStyle w:val="ListParagraph"/>
        <w:numPr>
          <w:ilvl w:val="0"/>
          <w:numId w:val="3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the scheme types in terms of their establishment, coverage, funding and regulation.  </w:t>
      </w:r>
      <w:r w:rsidR="000D36AC">
        <w:rPr>
          <w:rFonts w:ascii="Times New Roman" w:hAnsi="Times New Roman" w:cs="Times New Roman"/>
          <w:sz w:val="24"/>
          <w:szCs w:val="24"/>
        </w:rPr>
        <w:tab/>
      </w:r>
      <w:r w:rsidR="000D36AC">
        <w:rPr>
          <w:rFonts w:ascii="Times New Roman" w:hAnsi="Times New Roman" w:cs="Times New Roman"/>
          <w:sz w:val="24"/>
          <w:szCs w:val="24"/>
        </w:rPr>
        <w:tab/>
      </w:r>
      <w:r w:rsidR="000D36AC">
        <w:rPr>
          <w:rFonts w:ascii="Times New Roman" w:hAnsi="Times New Roman" w:cs="Times New Roman"/>
          <w:sz w:val="24"/>
          <w:szCs w:val="24"/>
        </w:rPr>
        <w:tab/>
      </w:r>
      <w:r w:rsidR="000D36AC">
        <w:rPr>
          <w:rFonts w:ascii="Times New Roman" w:hAnsi="Times New Roman" w:cs="Times New Roman"/>
          <w:sz w:val="24"/>
          <w:szCs w:val="24"/>
        </w:rPr>
        <w:tab/>
      </w:r>
      <w:r w:rsidR="000D36AC">
        <w:rPr>
          <w:rFonts w:ascii="Times New Roman" w:hAnsi="Times New Roman" w:cs="Times New Roman"/>
          <w:sz w:val="24"/>
          <w:szCs w:val="24"/>
        </w:rPr>
        <w:tab/>
      </w:r>
      <w:r w:rsidR="000D36AC">
        <w:rPr>
          <w:rFonts w:ascii="Times New Roman" w:hAnsi="Times New Roman" w:cs="Times New Roman"/>
          <w:sz w:val="24"/>
          <w:szCs w:val="24"/>
        </w:rPr>
        <w:tab/>
      </w:r>
      <w:r w:rsidR="000D36AC">
        <w:rPr>
          <w:rFonts w:ascii="Times New Roman" w:hAnsi="Times New Roman" w:cs="Times New Roman"/>
          <w:sz w:val="24"/>
          <w:szCs w:val="24"/>
        </w:rPr>
        <w:tab/>
      </w:r>
      <w:r w:rsidR="000D36AC">
        <w:rPr>
          <w:rFonts w:ascii="Times New Roman" w:hAnsi="Times New Roman" w:cs="Times New Roman"/>
          <w:sz w:val="24"/>
          <w:szCs w:val="24"/>
        </w:rPr>
        <w:tab/>
      </w:r>
      <w:r>
        <w:rPr>
          <w:rFonts w:ascii="Times New Roman" w:hAnsi="Times New Roman" w:cs="Times New Roman"/>
          <w:sz w:val="24"/>
          <w:szCs w:val="24"/>
        </w:rPr>
        <w:t>(6 marks)</w:t>
      </w:r>
    </w:p>
    <w:p w:rsidR="00AC3828" w:rsidRDefault="00AC3828" w:rsidP="00AC3828">
      <w:pPr>
        <w:pStyle w:val="ListParagraph"/>
        <w:numPr>
          <w:ilvl w:val="0"/>
          <w:numId w:val="29"/>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Briefly </w:t>
      </w:r>
      <w:r w:rsidR="006A6E75">
        <w:rPr>
          <w:rFonts w:ascii="Times New Roman" w:hAnsi="Times New Roman" w:cs="Times New Roman"/>
          <w:sz w:val="24"/>
          <w:szCs w:val="24"/>
        </w:rPr>
        <w:t>explain the following laws in K</w:t>
      </w:r>
      <w:r>
        <w:rPr>
          <w:rFonts w:ascii="Times New Roman" w:hAnsi="Times New Roman" w:cs="Times New Roman"/>
          <w:sz w:val="24"/>
          <w:szCs w:val="24"/>
        </w:rPr>
        <w:t>enya that provide for social security:</w:t>
      </w:r>
    </w:p>
    <w:p w:rsidR="00AC3828" w:rsidRDefault="00AC3828" w:rsidP="00AC3828">
      <w:pPr>
        <w:pStyle w:val="ListParagraph"/>
        <w:numPr>
          <w:ilvl w:val="0"/>
          <w:numId w:val="3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National Hospital Insurance Fund. </w:t>
      </w:r>
      <w:r w:rsidR="000D36AC">
        <w:rPr>
          <w:rFonts w:ascii="Times New Roman" w:hAnsi="Times New Roman" w:cs="Times New Roman"/>
          <w:sz w:val="24"/>
          <w:szCs w:val="24"/>
        </w:rPr>
        <w:tab/>
      </w:r>
      <w:r w:rsidR="000D36AC">
        <w:rPr>
          <w:rFonts w:ascii="Times New Roman" w:hAnsi="Times New Roman" w:cs="Times New Roman"/>
          <w:sz w:val="24"/>
          <w:szCs w:val="24"/>
        </w:rPr>
        <w:tab/>
      </w:r>
      <w:r w:rsidR="000D36AC">
        <w:rPr>
          <w:rFonts w:ascii="Times New Roman" w:hAnsi="Times New Roman" w:cs="Times New Roman"/>
          <w:sz w:val="24"/>
          <w:szCs w:val="24"/>
        </w:rPr>
        <w:tab/>
      </w:r>
      <w:r w:rsidR="000D36AC">
        <w:rPr>
          <w:rFonts w:ascii="Times New Roman" w:hAnsi="Times New Roman" w:cs="Times New Roman"/>
          <w:sz w:val="24"/>
          <w:szCs w:val="24"/>
        </w:rPr>
        <w:tab/>
      </w:r>
      <w:r w:rsidR="000D36AC">
        <w:rPr>
          <w:rFonts w:ascii="Times New Roman" w:hAnsi="Times New Roman" w:cs="Times New Roman"/>
          <w:sz w:val="24"/>
          <w:szCs w:val="24"/>
        </w:rPr>
        <w:tab/>
      </w:r>
      <w:r>
        <w:rPr>
          <w:rFonts w:ascii="Times New Roman" w:hAnsi="Times New Roman" w:cs="Times New Roman"/>
          <w:sz w:val="24"/>
          <w:szCs w:val="24"/>
        </w:rPr>
        <w:t>(5 marks)</w:t>
      </w:r>
    </w:p>
    <w:p w:rsidR="00AC3828" w:rsidRDefault="00AC3828" w:rsidP="00AC3828">
      <w:pPr>
        <w:pStyle w:val="ListParagraph"/>
        <w:numPr>
          <w:ilvl w:val="0"/>
          <w:numId w:val="3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Retirement Benefit Authority Act  </w:t>
      </w:r>
      <w:r w:rsidR="000D36AC">
        <w:rPr>
          <w:rFonts w:ascii="Times New Roman" w:hAnsi="Times New Roman" w:cs="Times New Roman"/>
          <w:sz w:val="24"/>
          <w:szCs w:val="24"/>
        </w:rPr>
        <w:tab/>
      </w:r>
      <w:r w:rsidR="000D36AC">
        <w:rPr>
          <w:rFonts w:ascii="Times New Roman" w:hAnsi="Times New Roman" w:cs="Times New Roman"/>
          <w:sz w:val="24"/>
          <w:szCs w:val="24"/>
        </w:rPr>
        <w:tab/>
      </w:r>
      <w:r w:rsidR="000D36AC">
        <w:rPr>
          <w:rFonts w:ascii="Times New Roman" w:hAnsi="Times New Roman" w:cs="Times New Roman"/>
          <w:sz w:val="24"/>
          <w:szCs w:val="24"/>
        </w:rPr>
        <w:tab/>
      </w:r>
      <w:r w:rsidR="000D36AC">
        <w:rPr>
          <w:rFonts w:ascii="Times New Roman" w:hAnsi="Times New Roman" w:cs="Times New Roman"/>
          <w:sz w:val="24"/>
          <w:szCs w:val="24"/>
        </w:rPr>
        <w:tab/>
      </w:r>
      <w:r w:rsidR="000D36AC">
        <w:rPr>
          <w:rFonts w:ascii="Times New Roman" w:hAnsi="Times New Roman" w:cs="Times New Roman"/>
          <w:sz w:val="24"/>
          <w:szCs w:val="24"/>
        </w:rPr>
        <w:tab/>
      </w:r>
      <w:r>
        <w:rPr>
          <w:rFonts w:ascii="Times New Roman" w:hAnsi="Times New Roman" w:cs="Times New Roman"/>
          <w:sz w:val="24"/>
          <w:szCs w:val="24"/>
        </w:rPr>
        <w:t>(5 marks)</w:t>
      </w:r>
    </w:p>
    <w:p w:rsidR="00AC3828" w:rsidRPr="000D36AC" w:rsidRDefault="00AC3828" w:rsidP="00AC3828">
      <w:pPr>
        <w:spacing w:after="120" w:line="360" w:lineRule="auto"/>
        <w:rPr>
          <w:rFonts w:ascii="Times New Roman" w:hAnsi="Times New Roman" w:cs="Times New Roman"/>
          <w:b/>
          <w:sz w:val="24"/>
          <w:szCs w:val="24"/>
        </w:rPr>
      </w:pPr>
      <w:r w:rsidRPr="000D36AC">
        <w:rPr>
          <w:rFonts w:ascii="Times New Roman" w:hAnsi="Times New Roman" w:cs="Times New Roman"/>
          <w:b/>
          <w:sz w:val="24"/>
          <w:szCs w:val="24"/>
        </w:rPr>
        <w:t>QUESTION FOUR (20 MARKS)</w:t>
      </w:r>
    </w:p>
    <w:p w:rsidR="00AC3828" w:rsidRDefault="00AC3828" w:rsidP="00AC3828">
      <w:pPr>
        <w:pStyle w:val="ListParagraph"/>
        <w:numPr>
          <w:ilvl w:val="0"/>
          <w:numId w:val="3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various categories of financial risks faced by pension schmes </w:t>
      </w:r>
      <w:r w:rsidR="000D36AC">
        <w:rPr>
          <w:rFonts w:ascii="Times New Roman" w:hAnsi="Times New Roman" w:cs="Times New Roman"/>
          <w:sz w:val="24"/>
          <w:szCs w:val="24"/>
        </w:rPr>
        <w:tab/>
      </w:r>
      <w:r>
        <w:rPr>
          <w:rFonts w:ascii="Times New Roman" w:hAnsi="Times New Roman" w:cs="Times New Roman"/>
          <w:sz w:val="24"/>
          <w:szCs w:val="24"/>
        </w:rPr>
        <w:t xml:space="preserve"> (10 marks)</w:t>
      </w:r>
    </w:p>
    <w:p w:rsidR="00AC3828" w:rsidRDefault="00AC3828" w:rsidP="00AC3828">
      <w:pPr>
        <w:pStyle w:val="ListParagraph"/>
        <w:numPr>
          <w:ilvl w:val="0"/>
          <w:numId w:val="32"/>
        </w:numPr>
        <w:spacing w:after="120" w:line="360" w:lineRule="auto"/>
        <w:rPr>
          <w:rFonts w:ascii="Times New Roman" w:hAnsi="Times New Roman" w:cs="Times New Roman"/>
          <w:sz w:val="24"/>
          <w:szCs w:val="24"/>
        </w:rPr>
      </w:pPr>
      <w:r>
        <w:rPr>
          <w:rFonts w:ascii="Times New Roman" w:hAnsi="Times New Roman" w:cs="Times New Roman"/>
          <w:sz w:val="24"/>
          <w:szCs w:val="24"/>
        </w:rPr>
        <w:t>The pension coverage in Kenya is only 13% of the total labour force as compared to Japan where the pension coverage 95%</w:t>
      </w:r>
      <w:r w:rsidR="00CB33D0">
        <w:rPr>
          <w:rFonts w:ascii="Times New Roman" w:hAnsi="Times New Roman" w:cs="Times New Roman"/>
          <w:sz w:val="24"/>
          <w:szCs w:val="24"/>
        </w:rPr>
        <w:t>.</w:t>
      </w:r>
    </w:p>
    <w:p w:rsidR="000D36AC" w:rsidRDefault="000D36AC" w:rsidP="000D36AC">
      <w:pPr>
        <w:spacing w:after="120" w:line="360" w:lineRule="auto"/>
        <w:rPr>
          <w:rFonts w:ascii="Times New Roman" w:hAnsi="Times New Roman" w:cs="Times New Roman"/>
          <w:sz w:val="24"/>
          <w:szCs w:val="24"/>
        </w:rPr>
      </w:pPr>
      <w:r>
        <w:rPr>
          <w:rFonts w:ascii="Times New Roman" w:hAnsi="Times New Roman" w:cs="Times New Roman"/>
          <w:sz w:val="24"/>
          <w:szCs w:val="24"/>
        </w:rPr>
        <w:t>Explain five innovative wa</w:t>
      </w:r>
      <w:r w:rsidR="006A6E75">
        <w:rPr>
          <w:rFonts w:ascii="Times New Roman" w:hAnsi="Times New Roman" w:cs="Times New Roman"/>
          <w:sz w:val="24"/>
          <w:szCs w:val="24"/>
        </w:rPr>
        <w:t>ys</w:t>
      </w:r>
      <w:r>
        <w:rPr>
          <w:rFonts w:ascii="Times New Roman" w:hAnsi="Times New Roman" w:cs="Times New Roman"/>
          <w:sz w:val="24"/>
          <w:szCs w:val="24"/>
        </w:rPr>
        <w:t xml:space="preserve"> that the government can adopt to expand the coverage.  (10 marks)</w:t>
      </w:r>
    </w:p>
    <w:p w:rsidR="000D36AC" w:rsidRPr="000D36AC" w:rsidRDefault="000D36AC" w:rsidP="000D36AC">
      <w:pPr>
        <w:spacing w:after="120" w:line="360" w:lineRule="auto"/>
        <w:rPr>
          <w:rFonts w:ascii="Times New Roman" w:hAnsi="Times New Roman" w:cs="Times New Roman"/>
          <w:b/>
          <w:sz w:val="24"/>
          <w:szCs w:val="24"/>
        </w:rPr>
      </w:pPr>
      <w:r w:rsidRPr="000D36AC">
        <w:rPr>
          <w:rFonts w:ascii="Times New Roman" w:hAnsi="Times New Roman" w:cs="Times New Roman"/>
          <w:b/>
          <w:sz w:val="24"/>
          <w:szCs w:val="24"/>
        </w:rPr>
        <w:t>QUESTION FIVE (20 MARKS)</w:t>
      </w:r>
    </w:p>
    <w:p w:rsidR="000D36AC" w:rsidRDefault="000D36AC" w:rsidP="000D36AC">
      <w:pPr>
        <w:pStyle w:val="ListParagraph"/>
        <w:numPr>
          <w:ilvl w:val="0"/>
          <w:numId w:val="3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As of 2010, 36 million elderly people aged 65 years and over accounted for 3.6% of Africa’s population, up from 3.3% ten years earlier.  Aging Population in Africa is expected to accelerate between 2010 and 2030, as more people reach age 65.  Projections show that the elderly could account for 4.5% of the population by 2030 and nearly 10% of the population by2050 (UN, 2011). </w:t>
      </w:r>
    </w:p>
    <w:p w:rsidR="000D36AC" w:rsidRDefault="000D36AC" w:rsidP="000D36AC">
      <w:pPr>
        <w:spacing w:after="120" w:line="360" w:lineRule="auto"/>
        <w:ind w:left="360"/>
        <w:rPr>
          <w:rFonts w:ascii="Times New Roman" w:hAnsi="Times New Roman" w:cs="Times New Roman"/>
          <w:sz w:val="24"/>
          <w:szCs w:val="24"/>
        </w:rPr>
      </w:pPr>
      <w:r>
        <w:rPr>
          <w:rFonts w:ascii="Times New Roman" w:hAnsi="Times New Roman" w:cs="Times New Roman"/>
          <w:sz w:val="24"/>
          <w:szCs w:val="24"/>
        </w:rPr>
        <w:t>Explain why the governments should be concerned with the aging population.  (10 marks)</w:t>
      </w:r>
    </w:p>
    <w:p w:rsidR="000D36AC" w:rsidRDefault="000D36AC" w:rsidP="000D36AC">
      <w:pPr>
        <w:pStyle w:val="ListParagraph"/>
        <w:numPr>
          <w:ilvl w:val="0"/>
          <w:numId w:val="3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the role of each of the following parties who may be involved in the provision of pension services in Kenya.  </w:t>
      </w:r>
    </w:p>
    <w:p w:rsidR="000D36AC" w:rsidRDefault="000D36AC" w:rsidP="000D36AC">
      <w:pPr>
        <w:pStyle w:val="ListParagraph"/>
        <w:numPr>
          <w:ilvl w:val="0"/>
          <w:numId w:val="3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Custodian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0D36AC" w:rsidRDefault="000D36AC" w:rsidP="000D36AC">
      <w:pPr>
        <w:pStyle w:val="ListParagraph"/>
        <w:numPr>
          <w:ilvl w:val="0"/>
          <w:numId w:val="3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Administrator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0D36AC" w:rsidRDefault="000D36AC" w:rsidP="000D36AC">
      <w:pPr>
        <w:pStyle w:val="ListParagraph"/>
        <w:numPr>
          <w:ilvl w:val="0"/>
          <w:numId w:val="3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Actuary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0D36AC" w:rsidRPr="000D36AC" w:rsidRDefault="000D36AC" w:rsidP="00A45818">
      <w:pPr>
        <w:pStyle w:val="ListParagraph"/>
        <w:spacing w:after="120" w:line="360" w:lineRule="auto"/>
        <w:ind w:left="1440"/>
        <w:rPr>
          <w:rFonts w:ascii="Times New Roman" w:hAnsi="Times New Roman" w:cs="Times New Roman"/>
          <w:sz w:val="24"/>
          <w:szCs w:val="24"/>
        </w:rPr>
      </w:pPr>
    </w:p>
    <w:sectPr w:rsidR="000D36AC" w:rsidRPr="000D36AC" w:rsidSect="00E84307">
      <w:footerReference w:type="default" r:id="rId1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B95" w:rsidRDefault="001E2B95" w:rsidP="00684E5D">
      <w:pPr>
        <w:spacing w:after="0" w:line="240" w:lineRule="auto"/>
      </w:pPr>
      <w:r>
        <w:separator/>
      </w:r>
    </w:p>
  </w:endnote>
  <w:endnote w:type="continuationSeparator" w:id="1">
    <w:p w:rsidR="001E2B95" w:rsidRDefault="001E2B95"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85D" w:rsidRDefault="005C285D"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C285D" w:rsidRDefault="005C285D">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6A6E75" w:rsidRPr="006A6E75">
        <w:rPr>
          <w:rFonts w:asciiTheme="majorHAnsi" w:hAnsiTheme="majorHAnsi"/>
          <w:noProof/>
        </w:rPr>
        <w:t>4</w:t>
      </w:r>
    </w:fldSimple>
  </w:p>
  <w:p w:rsidR="005C285D" w:rsidRDefault="005C28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B95" w:rsidRDefault="001E2B95" w:rsidP="00684E5D">
      <w:pPr>
        <w:spacing w:after="0" w:line="240" w:lineRule="auto"/>
      </w:pPr>
      <w:r>
        <w:separator/>
      </w:r>
    </w:p>
  </w:footnote>
  <w:footnote w:type="continuationSeparator" w:id="1">
    <w:p w:rsidR="001E2B95" w:rsidRDefault="001E2B95"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2F46"/>
    <w:multiLevelType w:val="hybridMultilevel"/>
    <w:tmpl w:val="26005206"/>
    <w:lvl w:ilvl="0" w:tplc="627A591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6080FD4"/>
    <w:multiLevelType w:val="hybridMultilevel"/>
    <w:tmpl w:val="616A8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919AE"/>
    <w:multiLevelType w:val="hybridMultilevel"/>
    <w:tmpl w:val="7772CA38"/>
    <w:lvl w:ilvl="0" w:tplc="69E272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F37E0A"/>
    <w:multiLevelType w:val="hybridMultilevel"/>
    <w:tmpl w:val="3DFAEDA6"/>
    <w:lvl w:ilvl="0" w:tplc="5C3837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D60384"/>
    <w:multiLevelType w:val="hybridMultilevel"/>
    <w:tmpl w:val="2A2055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346F1"/>
    <w:multiLevelType w:val="hybridMultilevel"/>
    <w:tmpl w:val="10D65008"/>
    <w:lvl w:ilvl="0" w:tplc="CD3C11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F510E2"/>
    <w:multiLevelType w:val="hybridMultilevel"/>
    <w:tmpl w:val="334A211C"/>
    <w:lvl w:ilvl="0" w:tplc="3F3A25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DF455F"/>
    <w:multiLevelType w:val="hybridMultilevel"/>
    <w:tmpl w:val="35DA5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005074"/>
    <w:multiLevelType w:val="hybridMultilevel"/>
    <w:tmpl w:val="95D0DC4A"/>
    <w:lvl w:ilvl="0" w:tplc="0E4A93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C46639"/>
    <w:multiLevelType w:val="hybridMultilevel"/>
    <w:tmpl w:val="459A9F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342211"/>
    <w:multiLevelType w:val="hybridMultilevel"/>
    <w:tmpl w:val="719045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52250D"/>
    <w:multiLevelType w:val="hybridMultilevel"/>
    <w:tmpl w:val="56D21F1A"/>
    <w:lvl w:ilvl="0" w:tplc="224880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821A71"/>
    <w:multiLevelType w:val="hybridMultilevel"/>
    <w:tmpl w:val="DE944F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2F4C62"/>
    <w:multiLevelType w:val="hybridMultilevel"/>
    <w:tmpl w:val="E6B2C6CC"/>
    <w:lvl w:ilvl="0" w:tplc="7E4A3E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F854C68"/>
    <w:multiLevelType w:val="hybridMultilevel"/>
    <w:tmpl w:val="641CD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A80696"/>
    <w:multiLevelType w:val="hybridMultilevel"/>
    <w:tmpl w:val="45DA1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59159E"/>
    <w:multiLevelType w:val="hybridMultilevel"/>
    <w:tmpl w:val="AA62E8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526A0B"/>
    <w:multiLevelType w:val="hybridMultilevel"/>
    <w:tmpl w:val="762CFD04"/>
    <w:lvl w:ilvl="0" w:tplc="F3EEA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A725E3"/>
    <w:multiLevelType w:val="hybridMultilevel"/>
    <w:tmpl w:val="19D45650"/>
    <w:lvl w:ilvl="0" w:tplc="43405E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24750B4"/>
    <w:multiLevelType w:val="hybridMultilevel"/>
    <w:tmpl w:val="4A46C274"/>
    <w:lvl w:ilvl="0" w:tplc="D584A3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B56284"/>
    <w:multiLevelType w:val="hybridMultilevel"/>
    <w:tmpl w:val="FEBC1DE6"/>
    <w:lvl w:ilvl="0" w:tplc="827C5E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4AA79BE"/>
    <w:multiLevelType w:val="hybridMultilevel"/>
    <w:tmpl w:val="85D24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C038B9"/>
    <w:multiLevelType w:val="hybridMultilevel"/>
    <w:tmpl w:val="963E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F52DE0"/>
    <w:multiLevelType w:val="hybridMultilevel"/>
    <w:tmpl w:val="E4E85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E73AD1"/>
    <w:multiLevelType w:val="hybridMultilevel"/>
    <w:tmpl w:val="89AE4CB4"/>
    <w:lvl w:ilvl="0" w:tplc="031A5F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BC7856"/>
    <w:multiLevelType w:val="hybridMultilevel"/>
    <w:tmpl w:val="9802220E"/>
    <w:lvl w:ilvl="0" w:tplc="C6CE6C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BDE255E"/>
    <w:multiLevelType w:val="hybridMultilevel"/>
    <w:tmpl w:val="086A05EA"/>
    <w:lvl w:ilvl="0" w:tplc="42DA28E4">
      <w:start w:val="1"/>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7">
    <w:nsid w:val="624536A9"/>
    <w:multiLevelType w:val="hybridMultilevel"/>
    <w:tmpl w:val="FD622838"/>
    <w:lvl w:ilvl="0" w:tplc="1C1CDE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28260F6"/>
    <w:multiLevelType w:val="hybridMultilevel"/>
    <w:tmpl w:val="EE806C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4B17A16"/>
    <w:multiLevelType w:val="hybridMultilevel"/>
    <w:tmpl w:val="3ECC9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6B60AB"/>
    <w:multiLevelType w:val="hybridMultilevel"/>
    <w:tmpl w:val="CC58FC1E"/>
    <w:lvl w:ilvl="0" w:tplc="38C2D2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B4308D6"/>
    <w:multiLevelType w:val="hybridMultilevel"/>
    <w:tmpl w:val="F17826CA"/>
    <w:lvl w:ilvl="0" w:tplc="62AE45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763270"/>
    <w:multiLevelType w:val="hybridMultilevel"/>
    <w:tmpl w:val="211A2F38"/>
    <w:lvl w:ilvl="0" w:tplc="BCDCE0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C937C9"/>
    <w:multiLevelType w:val="hybridMultilevel"/>
    <w:tmpl w:val="94DE844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num w:numId="1">
    <w:abstractNumId w:val="23"/>
  </w:num>
  <w:num w:numId="2">
    <w:abstractNumId w:val="27"/>
  </w:num>
  <w:num w:numId="3">
    <w:abstractNumId w:val="30"/>
  </w:num>
  <w:num w:numId="4">
    <w:abstractNumId w:val="28"/>
  </w:num>
  <w:num w:numId="5">
    <w:abstractNumId w:val="0"/>
  </w:num>
  <w:num w:numId="6">
    <w:abstractNumId w:val="26"/>
  </w:num>
  <w:num w:numId="7">
    <w:abstractNumId w:val="14"/>
  </w:num>
  <w:num w:numId="8">
    <w:abstractNumId w:val="7"/>
  </w:num>
  <w:num w:numId="9">
    <w:abstractNumId w:val="22"/>
  </w:num>
  <w:num w:numId="10">
    <w:abstractNumId w:val="9"/>
  </w:num>
  <w:num w:numId="11">
    <w:abstractNumId w:val="20"/>
  </w:num>
  <w:num w:numId="12">
    <w:abstractNumId w:val="3"/>
  </w:num>
  <w:num w:numId="13">
    <w:abstractNumId w:val="19"/>
  </w:num>
  <w:num w:numId="14">
    <w:abstractNumId w:val="32"/>
  </w:num>
  <w:num w:numId="15">
    <w:abstractNumId w:val="11"/>
  </w:num>
  <w:num w:numId="16">
    <w:abstractNumId w:val="15"/>
  </w:num>
  <w:num w:numId="17">
    <w:abstractNumId w:val="6"/>
  </w:num>
  <w:num w:numId="18">
    <w:abstractNumId w:val="24"/>
  </w:num>
  <w:num w:numId="19">
    <w:abstractNumId w:val="31"/>
  </w:num>
  <w:num w:numId="20">
    <w:abstractNumId w:val="16"/>
  </w:num>
  <w:num w:numId="21">
    <w:abstractNumId w:val="12"/>
  </w:num>
  <w:num w:numId="22">
    <w:abstractNumId w:val="8"/>
  </w:num>
  <w:num w:numId="23">
    <w:abstractNumId w:val="13"/>
  </w:num>
  <w:num w:numId="24">
    <w:abstractNumId w:val="2"/>
  </w:num>
  <w:num w:numId="25">
    <w:abstractNumId w:val="33"/>
  </w:num>
  <w:num w:numId="26">
    <w:abstractNumId w:val="17"/>
  </w:num>
  <w:num w:numId="27">
    <w:abstractNumId w:val="1"/>
  </w:num>
  <w:num w:numId="28">
    <w:abstractNumId w:val="21"/>
  </w:num>
  <w:num w:numId="29">
    <w:abstractNumId w:val="29"/>
  </w:num>
  <w:num w:numId="30">
    <w:abstractNumId w:val="5"/>
  </w:num>
  <w:num w:numId="31">
    <w:abstractNumId w:val="25"/>
  </w:num>
  <w:num w:numId="32">
    <w:abstractNumId w:val="4"/>
  </w:num>
  <w:num w:numId="33">
    <w:abstractNumId w:val="10"/>
  </w:num>
  <w:num w:numId="34">
    <w:abstractNumId w:val="1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137B44"/>
    <w:rsid w:val="00002F3B"/>
    <w:rsid w:val="00003186"/>
    <w:rsid w:val="000033EE"/>
    <w:rsid w:val="00005033"/>
    <w:rsid w:val="000052CC"/>
    <w:rsid w:val="00007014"/>
    <w:rsid w:val="00012A2A"/>
    <w:rsid w:val="00014D4F"/>
    <w:rsid w:val="000210A8"/>
    <w:rsid w:val="000219CB"/>
    <w:rsid w:val="0002397F"/>
    <w:rsid w:val="00034DA2"/>
    <w:rsid w:val="00040D80"/>
    <w:rsid w:val="0004143A"/>
    <w:rsid w:val="00052C02"/>
    <w:rsid w:val="00054301"/>
    <w:rsid w:val="00063C97"/>
    <w:rsid w:val="000667AC"/>
    <w:rsid w:val="000748BC"/>
    <w:rsid w:val="00075ED9"/>
    <w:rsid w:val="00082406"/>
    <w:rsid w:val="000830AC"/>
    <w:rsid w:val="00092E45"/>
    <w:rsid w:val="00093A2B"/>
    <w:rsid w:val="00097E26"/>
    <w:rsid w:val="000A0FB8"/>
    <w:rsid w:val="000A4EF9"/>
    <w:rsid w:val="000A7A5D"/>
    <w:rsid w:val="000A7B30"/>
    <w:rsid w:val="000B019A"/>
    <w:rsid w:val="000B71EA"/>
    <w:rsid w:val="000B7DA9"/>
    <w:rsid w:val="000C1272"/>
    <w:rsid w:val="000C1D5A"/>
    <w:rsid w:val="000C2FAC"/>
    <w:rsid w:val="000C742C"/>
    <w:rsid w:val="000D36AC"/>
    <w:rsid w:val="000E0B96"/>
    <w:rsid w:val="000F1925"/>
    <w:rsid w:val="000F1C37"/>
    <w:rsid w:val="000F54C1"/>
    <w:rsid w:val="000F5F95"/>
    <w:rsid w:val="000F5FD9"/>
    <w:rsid w:val="000F66F9"/>
    <w:rsid w:val="0010471E"/>
    <w:rsid w:val="00111AFD"/>
    <w:rsid w:val="0011779A"/>
    <w:rsid w:val="0012189C"/>
    <w:rsid w:val="00121C94"/>
    <w:rsid w:val="00121D94"/>
    <w:rsid w:val="00130BFD"/>
    <w:rsid w:val="00130C2A"/>
    <w:rsid w:val="00134BC0"/>
    <w:rsid w:val="0013589F"/>
    <w:rsid w:val="0013761E"/>
    <w:rsid w:val="00137B44"/>
    <w:rsid w:val="0014213A"/>
    <w:rsid w:val="00143142"/>
    <w:rsid w:val="00145536"/>
    <w:rsid w:val="00147BEA"/>
    <w:rsid w:val="00151689"/>
    <w:rsid w:val="00151A1F"/>
    <w:rsid w:val="00161AC5"/>
    <w:rsid w:val="00162F38"/>
    <w:rsid w:val="00163E24"/>
    <w:rsid w:val="00165094"/>
    <w:rsid w:val="001707AE"/>
    <w:rsid w:val="001722F9"/>
    <w:rsid w:val="00173999"/>
    <w:rsid w:val="00176203"/>
    <w:rsid w:val="001776A6"/>
    <w:rsid w:val="00181538"/>
    <w:rsid w:val="00184741"/>
    <w:rsid w:val="00196297"/>
    <w:rsid w:val="001A45B0"/>
    <w:rsid w:val="001A6120"/>
    <w:rsid w:val="001B3F3C"/>
    <w:rsid w:val="001B51F0"/>
    <w:rsid w:val="001C32AD"/>
    <w:rsid w:val="001D4A1D"/>
    <w:rsid w:val="001E1503"/>
    <w:rsid w:val="001E2B95"/>
    <w:rsid w:val="001E5090"/>
    <w:rsid w:val="001F07BA"/>
    <w:rsid w:val="001F14E5"/>
    <w:rsid w:val="001F7633"/>
    <w:rsid w:val="00216906"/>
    <w:rsid w:val="0022330A"/>
    <w:rsid w:val="00224B71"/>
    <w:rsid w:val="00232731"/>
    <w:rsid w:val="00236B45"/>
    <w:rsid w:val="00237BB5"/>
    <w:rsid w:val="002533D0"/>
    <w:rsid w:val="002608CF"/>
    <w:rsid w:val="0026670D"/>
    <w:rsid w:val="00266816"/>
    <w:rsid w:val="00267A61"/>
    <w:rsid w:val="00270D94"/>
    <w:rsid w:val="00273964"/>
    <w:rsid w:val="00276BEB"/>
    <w:rsid w:val="0028061E"/>
    <w:rsid w:val="00281680"/>
    <w:rsid w:val="00290C96"/>
    <w:rsid w:val="00295BD2"/>
    <w:rsid w:val="002B0CCB"/>
    <w:rsid w:val="002B1C18"/>
    <w:rsid w:val="002B1C2C"/>
    <w:rsid w:val="002B1CBE"/>
    <w:rsid w:val="002B3A70"/>
    <w:rsid w:val="002B7615"/>
    <w:rsid w:val="002C11A4"/>
    <w:rsid w:val="002C11C6"/>
    <w:rsid w:val="002C3BBB"/>
    <w:rsid w:val="002E169F"/>
    <w:rsid w:val="002E694B"/>
    <w:rsid w:val="002F5AD8"/>
    <w:rsid w:val="0030009D"/>
    <w:rsid w:val="00302D33"/>
    <w:rsid w:val="003043D1"/>
    <w:rsid w:val="00304C2E"/>
    <w:rsid w:val="00312D64"/>
    <w:rsid w:val="003161B6"/>
    <w:rsid w:val="00324B18"/>
    <w:rsid w:val="00325F10"/>
    <w:rsid w:val="0033466E"/>
    <w:rsid w:val="003355BC"/>
    <w:rsid w:val="003357DD"/>
    <w:rsid w:val="00340731"/>
    <w:rsid w:val="003421AA"/>
    <w:rsid w:val="0034734A"/>
    <w:rsid w:val="00354A34"/>
    <w:rsid w:val="00356EFF"/>
    <w:rsid w:val="00366C5E"/>
    <w:rsid w:val="00366DC6"/>
    <w:rsid w:val="00380CE6"/>
    <w:rsid w:val="00386863"/>
    <w:rsid w:val="0039055B"/>
    <w:rsid w:val="003948BD"/>
    <w:rsid w:val="00397883"/>
    <w:rsid w:val="003A50FD"/>
    <w:rsid w:val="003B2B9A"/>
    <w:rsid w:val="003B5C9A"/>
    <w:rsid w:val="003B7955"/>
    <w:rsid w:val="003C7AC0"/>
    <w:rsid w:val="003E0414"/>
    <w:rsid w:val="003E2132"/>
    <w:rsid w:val="003E2300"/>
    <w:rsid w:val="00406334"/>
    <w:rsid w:val="004066F2"/>
    <w:rsid w:val="00406996"/>
    <w:rsid w:val="00421F13"/>
    <w:rsid w:val="00423270"/>
    <w:rsid w:val="004255F5"/>
    <w:rsid w:val="00434499"/>
    <w:rsid w:val="00436479"/>
    <w:rsid w:val="004459F3"/>
    <w:rsid w:val="00453AA8"/>
    <w:rsid w:val="00455C59"/>
    <w:rsid w:val="0045782E"/>
    <w:rsid w:val="00460BD5"/>
    <w:rsid w:val="00463A75"/>
    <w:rsid w:val="00467961"/>
    <w:rsid w:val="004776CC"/>
    <w:rsid w:val="0048644F"/>
    <w:rsid w:val="00493C7F"/>
    <w:rsid w:val="004A1EDC"/>
    <w:rsid w:val="004A25E0"/>
    <w:rsid w:val="004B26E7"/>
    <w:rsid w:val="004B42A3"/>
    <w:rsid w:val="004B43ED"/>
    <w:rsid w:val="004B614E"/>
    <w:rsid w:val="004B6F7F"/>
    <w:rsid w:val="004B7086"/>
    <w:rsid w:val="004C1CC8"/>
    <w:rsid w:val="004C488B"/>
    <w:rsid w:val="004C4B63"/>
    <w:rsid w:val="004C516F"/>
    <w:rsid w:val="004C790A"/>
    <w:rsid w:val="004D2589"/>
    <w:rsid w:val="004E024F"/>
    <w:rsid w:val="004E620C"/>
    <w:rsid w:val="004F7033"/>
    <w:rsid w:val="00504992"/>
    <w:rsid w:val="00510390"/>
    <w:rsid w:val="00512000"/>
    <w:rsid w:val="005143A1"/>
    <w:rsid w:val="005150C3"/>
    <w:rsid w:val="00516014"/>
    <w:rsid w:val="0052178F"/>
    <w:rsid w:val="005228F5"/>
    <w:rsid w:val="00523412"/>
    <w:rsid w:val="00525DFC"/>
    <w:rsid w:val="00532887"/>
    <w:rsid w:val="00532A6C"/>
    <w:rsid w:val="00533925"/>
    <w:rsid w:val="00535AB2"/>
    <w:rsid w:val="00536A6C"/>
    <w:rsid w:val="005445E0"/>
    <w:rsid w:val="005452BD"/>
    <w:rsid w:val="00550C59"/>
    <w:rsid w:val="005547FD"/>
    <w:rsid w:val="00554F4A"/>
    <w:rsid w:val="0057442D"/>
    <w:rsid w:val="005746AC"/>
    <w:rsid w:val="005760E6"/>
    <w:rsid w:val="00582FF7"/>
    <w:rsid w:val="0058328A"/>
    <w:rsid w:val="005909DD"/>
    <w:rsid w:val="005A48AF"/>
    <w:rsid w:val="005A524C"/>
    <w:rsid w:val="005B0473"/>
    <w:rsid w:val="005B6404"/>
    <w:rsid w:val="005B6955"/>
    <w:rsid w:val="005B7DE4"/>
    <w:rsid w:val="005C285D"/>
    <w:rsid w:val="005C4F78"/>
    <w:rsid w:val="005C764C"/>
    <w:rsid w:val="005D1C7A"/>
    <w:rsid w:val="005E4161"/>
    <w:rsid w:val="005E741E"/>
    <w:rsid w:val="005F5654"/>
    <w:rsid w:val="00603170"/>
    <w:rsid w:val="00604376"/>
    <w:rsid w:val="00611E34"/>
    <w:rsid w:val="006153BB"/>
    <w:rsid w:val="006201AE"/>
    <w:rsid w:val="0062633E"/>
    <w:rsid w:val="0063468F"/>
    <w:rsid w:val="00635190"/>
    <w:rsid w:val="00636626"/>
    <w:rsid w:val="00640773"/>
    <w:rsid w:val="006426F5"/>
    <w:rsid w:val="00652E58"/>
    <w:rsid w:val="00655169"/>
    <w:rsid w:val="006564B2"/>
    <w:rsid w:val="00656DEE"/>
    <w:rsid w:val="0065788F"/>
    <w:rsid w:val="00667220"/>
    <w:rsid w:val="00670855"/>
    <w:rsid w:val="00681B94"/>
    <w:rsid w:val="00683BEA"/>
    <w:rsid w:val="00684E5D"/>
    <w:rsid w:val="00685392"/>
    <w:rsid w:val="006961BE"/>
    <w:rsid w:val="00697312"/>
    <w:rsid w:val="006A21BC"/>
    <w:rsid w:val="006A4FD9"/>
    <w:rsid w:val="006A6E75"/>
    <w:rsid w:val="006B6559"/>
    <w:rsid w:val="006B6D98"/>
    <w:rsid w:val="006D0430"/>
    <w:rsid w:val="006D500B"/>
    <w:rsid w:val="006D7F8D"/>
    <w:rsid w:val="006E170A"/>
    <w:rsid w:val="006E5309"/>
    <w:rsid w:val="006E71DA"/>
    <w:rsid w:val="006F5253"/>
    <w:rsid w:val="007061A3"/>
    <w:rsid w:val="00707612"/>
    <w:rsid w:val="007100C7"/>
    <w:rsid w:val="007165FD"/>
    <w:rsid w:val="00720687"/>
    <w:rsid w:val="0072401C"/>
    <w:rsid w:val="0073203A"/>
    <w:rsid w:val="007427F1"/>
    <w:rsid w:val="007530E4"/>
    <w:rsid w:val="0076775F"/>
    <w:rsid w:val="00771B60"/>
    <w:rsid w:val="00774D6E"/>
    <w:rsid w:val="00783565"/>
    <w:rsid w:val="00785EEA"/>
    <w:rsid w:val="00793785"/>
    <w:rsid w:val="00793C98"/>
    <w:rsid w:val="007A3173"/>
    <w:rsid w:val="007B0BDC"/>
    <w:rsid w:val="007C16F6"/>
    <w:rsid w:val="007C30F7"/>
    <w:rsid w:val="007C63A2"/>
    <w:rsid w:val="007C671E"/>
    <w:rsid w:val="007D00BF"/>
    <w:rsid w:val="007D7792"/>
    <w:rsid w:val="007E303F"/>
    <w:rsid w:val="007E4AE5"/>
    <w:rsid w:val="007E7001"/>
    <w:rsid w:val="007F1C65"/>
    <w:rsid w:val="007F4086"/>
    <w:rsid w:val="00807C17"/>
    <w:rsid w:val="00811470"/>
    <w:rsid w:val="008117A0"/>
    <w:rsid w:val="008120BD"/>
    <w:rsid w:val="00815F76"/>
    <w:rsid w:val="008178A6"/>
    <w:rsid w:val="0082080A"/>
    <w:rsid w:val="0082571C"/>
    <w:rsid w:val="008344A6"/>
    <w:rsid w:val="008403AF"/>
    <w:rsid w:val="00841F21"/>
    <w:rsid w:val="00843581"/>
    <w:rsid w:val="00854C4D"/>
    <w:rsid w:val="0085723A"/>
    <w:rsid w:val="00861077"/>
    <w:rsid w:val="00862B6C"/>
    <w:rsid w:val="00871DA2"/>
    <w:rsid w:val="00884F99"/>
    <w:rsid w:val="008A479F"/>
    <w:rsid w:val="008B15BC"/>
    <w:rsid w:val="008B3C11"/>
    <w:rsid w:val="008B64A4"/>
    <w:rsid w:val="008B6DD7"/>
    <w:rsid w:val="008C3C33"/>
    <w:rsid w:val="008C6B6F"/>
    <w:rsid w:val="008E18D8"/>
    <w:rsid w:val="008F03C1"/>
    <w:rsid w:val="008F15B7"/>
    <w:rsid w:val="008F1709"/>
    <w:rsid w:val="008F6923"/>
    <w:rsid w:val="008F6C70"/>
    <w:rsid w:val="0090680B"/>
    <w:rsid w:val="0090763A"/>
    <w:rsid w:val="00913D1B"/>
    <w:rsid w:val="00916A06"/>
    <w:rsid w:val="009264F9"/>
    <w:rsid w:val="00933087"/>
    <w:rsid w:val="0093778D"/>
    <w:rsid w:val="0094090F"/>
    <w:rsid w:val="00940C25"/>
    <w:rsid w:val="00942267"/>
    <w:rsid w:val="00942773"/>
    <w:rsid w:val="00946386"/>
    <w:rsid w:val="00953AD5"/>
    <w:rsid w:val="00961423"/>
    <w:rsid w:val="009801F5"/>
    <w:rsid w:val="00995C20"/>
    <w:rsid w:val="009A1043"/>
    <w:rsid w:val="009A1675"/>
    <w:rsid w:val="009A337F"/>
    <w:rsid w:val="009A35B8"/>
    <w:rsid w:val="009A5253"/>
    <w:rsid w:val="009A67AD"/>
    <w:rsid w:val="009A6EC1"/>
    <w:rsid w:val="009B4BCF"/>
    <w:rsid w:val="009B73BB"/>
    <w:rsid w:val="009C08BE"/>
    <w:rsid w:val="009C5533"/>
    <w:rsid w:val="009C5D5F"/>
    <w:rsid w:val="009D0057"/>
    <w:rsid w:val="009D1C67"/>
    <w:rsid w:val="009E14B1"/>
    <w:rsid w:val="009E2A4B"/>
    <w:rsid w:val="009E3081"/>
    <w:rsid w:val="009E57EA"/>
    <w:rsid w:val="009E57F4"/>
    <w:rsid w:val="009E6EDE"/>
    <w:rsid w:val="009F671F"/>
    <w:rsid w:val="009F7260"/>
    <w:rsid w:val="00A01703"/>
    <w:rsid w:val="00A0658B"/>
    <w:rsid w:val="00A10575"/>
    <w:rsid w:val="00A12917"/>
    <w:rsid w:val="00A14100"/>
    <w:rsid w:val="00A15BFB"/>
    <w:rsid w:val="00A17967"/>
    <w:rsid w:val="00A205A9"/>
    <w:rsid w:val="00A23815"/>
    <w:rsid w:val="00A313DC"/>
    <w:rsid w:val="00A32016"/>
    <w:rsid w:val="00A345D4"/>
    <w:rsid w:val="00A345F2"/>
    <w:rsid w:val="00A3671F"/>
    <w:rsid w:val="00A42C5A"/>
    <w:rsid w:val="00A45818"/>
    <w:rsid w:val="00A45F58"/>
    <w:rsid w:val="00A46068"/>
    <w:rsid w:val="00A4685E"/>
    <w:rsid w:val="00A51396"/>
    <w:rsid w:val="00A5290B"/>
    <w:rsid w:val="00A54E7A"/>
    <w:rsid w:val="00A562E4"/>
    <w:rsid w:val="00A569D4"/>
    <w:rsid w:val="00A57AC5"/>
    <w:rsid w:val="00A57CBF"/>
    <w:rsid w:val="00A65AF2"/>
    <w:rsid w:val="00A73BC1"/>
    <w:rsid w:val="00A77A8C"/>
    <w:rsid w:val="00A82DCB"/>
    <w:rsid w:val="00A855ED"/>
    <w:rsid w:val="00A87839"/>
    <w:rsid w:val="00A91DB1"/>
    <w:rsid w:val="00A96023"/>
    <w:rsid w:val="00A9699B"/>
    <w:rsid w:val="00AA35A2"/>
    <w:rsid w:val="00AA5BB7"/>
    <w:rsid w:val="00AA6BA4"/>
    <w:rsid w:val="00AB5F81"/>
    <w:rsid w:val="00AC3828"/>
    <w:rsid w:val="00AC633D"/>
    <w:rsid w:val="00AD0E3E"/>
    <w:rsid w:val="00AD1537"/>
    <w:rsid w:val="00AD167E"/>
    <w:rsid w:val="00AD5153"/>
    <w:rsid w:val="00AE7670"/>
    <w:rsid w:val="00AF00B3"/>
    <w:rsid w:val="00AF44CB"/>
    <w:rsid w:val="00AF795E"/>
    <w:rsid w:val="00B004EB"/>
    <w:rsid w:val="00B03F5B"/>
    <w:rsid w:val="00B04D60"/>
    <w:rsid w:val="00B23744"/>
    <w:rsid w:val="00B24E91"/>
    <w:rsid w:val="00B276D6"/>
    <w:rsid w:val="00B30D41"/>
    <w:rsid w:val="00B32A5B"/>
    <w:rsid w:val="00B43AE8"/>
    <w:rsid w:val="00B510CD"/>
    <w:rsid w:val="00B52C7A"/>
    <w:rsid w:val="00B54586"/>
    <w:rsid w:val="00B56D47"/>
    <w:rsid w:val="00B5777C"/>
    <w:rsid w:val="00B602C5"/>
    <w:rsid w:val="00B61CED"/>
    <w:rsid w:val="00B7398B"/>
    <w:rsid w:val="00B7483C"/>
    <w:rsid w:val="00B802DE"/>
    <w:rsid w:val="00B851FC"/>
    <w:rsid w:val="00B87258"/>
    <w:rsid w:val="00B91801"/>
    <w:rsid w:val="00B961E4"/>
    <w:rsid w:val="00B97BED"/>
    <w:rsid w:val="00BA253A"/>
    <w:rsid w:val="00BB2234"/>
    <w:rsid w:val="00BB4364"/>
    <w:rsid w:val="00BB6943"/>
    <w:rsid w:val="00BC03E0"/>
    <w:rsid w:val="00BC6EE0"/>
    <w:rsid w:val="00BC7A47"/>
    <w:rsid w:val="00BE25EC"/>
    <w:rsid w:val="00BF0B83"/>
    <w:rsid w:val="00BF52ED"/>
    <w:rsid w:val="00BF5540"/>
    <w:rsid w:val="00BF6571"/>
    <w:rsid w:val="00BF766A"/>
    <w:rsid w:val="00C05644"/>
    <w:rsid w:val="00C07EEE"/>
    <w:rsid w:val="00C1077D"/>
    <w:rsid w:val="00C1089E"/>
    <w:rsid w:val="00C13636"/>
    <w:rsid w:val="00C21501"/>
    <w:rsid w:val="00C22AD0"/>
    <w:rsid w:val="00C27591"/>
    <w:rsid w:val="00C30112"/>
    <w:rsid w:val="00C32CA0"/>
    <w:rsid w:val="00C40F0B"/>
    <w:rsid w:val="00C41FD0"/>
    <w:rsid w:val="00C42B66"/>
    <w:rsid w:val="00C432FB"/>
    <w:rsid w:val="00C4369D"/>
    <w:rsid w:val="00C43CF7"/>
    <w:rsid w:val="00C45BFC"/>
    <w:rsid w:val="00C625BC"/>
    <w:rsid w:val="00C63719"/>
    <w:rsid w:val="00C70319"/>
    <w:rsid w:val="00C717C0"/>
    <w:rsid w:val="00C77ED9"/>
    <w:rsid w:val="00C80A4F"/>
    <w:rsid w:val="00C810B1"/>
    <w:rsid w:val="00C83D3F"/>
    <w:rsid w:val="00C86EE4"/>
    <w:rsid w:val="00C91D08"/>
    <w:rsid w:val="00C9572B"/>
    <w:rsid w:val="00C9794F"/>
    <w:rsid w:val="00CA110C"/>
    <w:rsid w:val="00CA1B42"/>
    <w:rsid w:val="00CA280C"/>
    <w:rsid w:val="00CA7E04"/>
    <w:rsid w:val="00CB33D0"/>
    <w:rsid w:val="00CB7F7E"/>
    <w:rsid w:val="00CD083A"/>
    <w:rsid w:val="00CD2532"/>
    <w:rsid w:val="00CD2812"/>
    <w:rsid w:val="00CD2E15"/>
    <w:rsid w:val="00CD4800"/>
    <w:rsid w:val="00CD5ECC"/>
    <w:rsid w:val="00CE08F3"/>
    <w:rsid w:val="00CF0A4A"/>
    <w:rsid w:val="00CF48A7"/>
    <w:rsid w:val="00CF502B"/>
    <w:rsid w:val="00CF5F43"/>
    <w:rsid w:val="00CF611D"/>
    <w:rsid w:val="00CF7219"/>
    <w:rsid w:val="00D0261E"/>
    <w:rsid w:val="00D03463"/>
    <w:rsid w:val="00D03A17"/>
    <w:rsid w:val="00D06DC6"/>
    <w:rsid w:val="00D07D40"/>
    <w:rsid w:val="00D141B1"/>
    <w:rsid w:val="00D15B80"/>
    <w:rsid w:val="00D2011B"/>
    <w:rsid w:val="00D27836"/>
    <w:rsid w:val="00D32DF4"/>
    <w:rsid w:val="00D32FE5"/>
    <w:rsid w:val="00D3352E"/>
    <w:rsid w:val="00D339E8"/>
    <w:rsid w:val="00D34B39"/>
    <w:rsid w:val="00D35F6C"/>
    <w:rsid w:val="00D4143A"/>
    <w:rsid w:val="00D46DA4"/>
    <w:rsid w:val="00D52B93"/>
    <w:rsid w:val="00D54DCF"/>
    <w:rsid w:val="00D5521C"/>
    <w:rsid w:val="00D60ED7"/>
    <w:rsid w:val="00D7218A"/>
    <w:rsid w:val="00D73941"/>
    <w:rsid w:val="00D76684"/>
    <w:rsid w:val="00D7704F"/>
    <w:rsid w:val="00D86BDB"/>
    <w:rsid w:val="00D878FE"/>
    <w:rsid w:val="00D9017B"/>
    <w:rsid w:val="00D90F5F"/>
    <w:rsid w:val="00D9536D"/>
    <w:rsid w:val="00D9666F"/>
    <w:rsid w:val="00DA3E48"/>
    <w:rsid w:val="00DB11C7"/>
    <w:rsid w:val="00DC2C2D"/>
    <w:rsid w:val="00DC45B1"/>
    <w:rsid w:val="00DC4790"/>
    <w:rsid w:val="00DC705E"/>
    <w:rsid w:val="00DD258C"/>
    <w:rsid w:val="00DD25AF"/>
    <w:rsid w:val="00DD2AC6"/>
    <w:rsid w:val="00DD56C4"/>
    <w:rsid w:val="00DE3A1E"/>
    <w:rsid w:val="00DE3DB3"/>
    <w:rsid w:val="00DF1D27"/>
    <w:rsid w:val="00E002EA"/>
    <w:rsid w:val="00E01AE6"/>
    <w:rsid w:val="00E02210"/>
    <w:rsid w:val="00E034A0"/>
    <w:rsid w:val="00E03F4E"/>
    <w:rsid w:val="00E04CED"/>
    <w:rsid w:val="00E0582C"/>
    <w:rsid w:val="00E07120"/>
    <w:rsid w:val="00E07D23"/>
    <w:rsid w:val="00E20F5E"/>
    <w:rsid w:val="00E21CE1"/>
    <w:rsid w:val="00E224D7"/>
    <w:rsid w:val="00E24308"/>
    <w:rsid w:val="00E31C91"/>
    <w:rsid w:val="00E368BC"/>
    <w:rsid w:val="00E45D25"/>
    <w:rsid w:val="00E55153"/>
    <w:rsid w:val="00E56079"/>
    <w:rsid w:val="00E62498"/>
    <w:rsid w:val="00E64322"/>
    <w:rsid w:val="00E70BA1"/>
    <w:rsid w:val="00E72C94"/>
    <w:rsid w:val="00E73E62"/>
    <w:rsid w:val="00E84307"/>
    <w:rsid w:val="00E856A7"/>
    <w:rsid w:val="00E85DAD"/>
    <w:rsid w:val="00E8790F"/>
    <w:rsid w:val="00E9591B"/>
    <w:rsid w:val="00EB38EA"/>
    <w:rsid w:val="00EC28DD"/>
    <w:rsid w:val="00EC50B0"/>
    <w:rsid w:val="00ED14F0"/>
    <w:rsid w:val="00EE0618"/>
    <w:rsid w:val="00EE6557"/>
    <w:rsid w:val="00EF12BB"/>
    <w:rsid w:val="00EF239D"/>
    <w:rsid w:val="00F03E3B"/>
    <w:rsid w:val="00F132A8"/>
    <w:rsid w:val="00F1685A"/>
    <w:rsid w:val="00F20A5E"/>
    <w:rsid w:val="00F2681B"/>
    <w:rsid w:val="00F27D58"/>
    <w:rsid w:val="00F3601B"/>
    <w:rsid w:val="00F3710D"/>
    <w:rsid w:val="00F44B8D"/>
    <w:rsid w:val="00F46A1A"/>
    <w:rsid w:val="00F51372"/>
    <w:rsid w:val="00F53F7E"/>
    <w:rsid w:val="00F57161"/>
    <w:rsid w:val="00F72E89"/>
    <w:rsid w:val="00F76141"/>
    <w:rsid w:val="00F80435"/>
    <w:rsid w:val="00F81CF8"/>
    <w:rsid w:val="00F82D23"/>
    <w:rsid w:val="00F855A7"/>
    <w:rsid w:val="00F906E6"/>
    <w:rsid w:val="00F91BEE"/>
    <w:rsid w:val="00F940AE"/>
    <w:rsid w:val="00FA6A5A"/>
    <w:rsid w:val="00FB1BDE"/>
    <w:rsid w:val="00FB1DBD"/>
    <w:rsid w:val="00FC2BE8"/>
    <w:rsid w:val="00FC3856"/>
    <w:rsid w:val="00FC38AB"/>
    <w:rsid w:val="00FD41B0"/>
    <w:rsid w:val="00FD7559"/>
    <w:rsid w:val="00FE106E"/>
    <w:rsid w:val="00FE7FDB"/>
    <w:rsid w:val="00FF3072"/>
    <w:rsid w:val="00FF42CF"/>
    <w:rsid w:val="00FF4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1A26F-1AAD-416D-9641-E88FFDF5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13</cp:revision>
  <cp:lastPrinted>2016-03-14T15:18:00Z</cp:lastPrinted>
  <dcterms:created xsi:type="dcterms:W3CDTF">2016-03-16T15:29:00Z</dcterms:created>
  <dcterms:modified xsi:type="dcterms:W3CDTF">2016-03-30T18:36:00Z</dcterms:modified>
</cp:coreProperties>
</file>