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7A" w:rsidRDefault="00737B5D" w:rsidP="0064477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737B5D">
        <w:pict>
          <v:group id="_x0000_s1026" style="position:absolute;left:0;text-align:left;margin-left:196.2pt;margin-top:-54.25pt;width:71.75pt;height:70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64477A" w:rsidRDefault="0064477A" w:rsidP="0064477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4477A" w:rsidRDefault="0064477A" w:rsidP="0064477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4477A" w:rsidRDefault="0064477A" w:rsidP="0064477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64477A" w:rsidRDefault="0064477A" w:rsidP="0064477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4477A" w:rsidRDefault="0064477A" w:rsidP="0064477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64477A" w:rsidRDefault="00737B5D" w:rsidP="0064477A">
      <w:pPr>
        <w:spacing w:after="0" w:line="240" w:lineRule="auto"/>
        <w:jc w:val="center"/>
        <w:rPr>
          <w:rFonts w:ascii="Maiandra GD" w:hAnsi="Maiandra GD"/>
          <w:b/>
        </w:rPr>
      </w:pPr>
      <w:r w:rsidRPr="00737B5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64477A" w:rsidRDefault="0064477A" w:rsidP="0064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64477A" w:rsidRDefault="0064477A" w:rsidP="0064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477A" w:rsidRDefault="0064477A" w:rsidP="00644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SECOND SEMESTER EXAMINATION FOR THE DEGREE OF BACHELOR OF COMMERCE</w:t>
      </w:r>
    </w:p>
    <w:p w:rsidR="0064477A" w:rsidRDefault="0064477A" w:rsidP="00644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477A" w:rsidRDefault="0064477A" w:rsidP="00644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477A" w:rsidRDefault="0064477A" w:rsidP="0064477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HBC 2226: ISSUES IN FINANCIAL MANAGEMENT</w:t>
      </w:r>
    </w:p>
    <w:p w:rsidR="0064477A" w:rsidRDefault="0064477A" w:rsidP="0064477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4477A" w:rsidRDefault="00737B5D" w:rsidP="0064477A">
      <w:pPr>
        <w:spacing w:after="0" w:line="240" w:lineRule="auto"/>
        <w:rPr>
          <w:rFonts w:ascii="Times New Roman" w:hAnsi="Times New Roman"/>
          <w:b/>
        </w:rPr>
      </w:pPr>
      <w:r w:rsidRPr="00737B5D">
        <w:pict>
          <v:shape id="_x0000_s1072" type="#_x0000_t32" style="position:absolute;margin-left:-1in;margin-top:15.45pt;width:612.45pt;height:0;z-index:251662336" o:connectortype="straight"/>
        </w:pict>
      </w:r>
      <w:r w:rsidR="0064477A">
        <w:rPr>
          <w:rFonts w:ascii="Times New Roman" w:hAnsi="Times New Roman"/>
          <w:b/>
        </w:rPr>
        <w:t>DATE: DECEMBER 2014                                                                                            TIME: 2 HOURS</w:t>
      </w:r>
    </w:p>
    <w:p w:rsidR="0064477A" w:rsidRDefault="0064477A" w:rsidP="0064477A">
      <w:pPr>
        <w:spacing w:after="0" w:line="240" w:lineRule="auto"/>
        <w:rPr>
          <w:rFonts w:ascii="Times New Roman" w:hAnsi="Times New Roman"/>
          <w:b/>
        </w:rPr>
      </w:pPr>
    </w:p>
    <w:p w:rsidR="0064477A" w:rsidRDefault="0064477A" w:rsidP="0064477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 xml:space="preserve">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64477A" w:rsidRPr="00065FF7" w:rsidRDefault="00737B5D" w:rsidP="0064477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37B5D">
        <w:pict>
          <v:shape id="_x0000_s1073" type="#_x0000_t32" style="position:absolute;margin-left:-1in;margin-top:9.7pt;width:612.45pt;height:0;z-index:251663360" o:connectortype="straight"/>
        </w:pict>
      </w:r>
    </w:p>
    <w:p w:rsidR="003524B4" w:rsidRDefault="0064477A">
      <w:pPr>
        <w:rPr>
          <w:rFonts w:ascii="Times New Roman" w:hAnsi="Times New Roman"/>
          <w:b/>
          <w:sz w:val="24"/>
          <w:szCs w:val="24"/>
        </w:rPr>
      </w:pPr>
      <w:r w:rsidRPr="0064477A">
        <w:rPr>
          <w:rFonts w:ascii="Times New Roman" w:hAnsi="Times New Roman"/>
          <w:b/>
          <w:sz w:val="24"/>
          <w:szCs w:val="24"/>
        </w:rPr>
        <w:t>QUESTION ONE</w:t>
      </w:r>
    </w:p>
    <w:p w:rsidR="0064477A" w:rsidRPr="0064477A" w:rsidRDefault="0064477A" w:rsidP="0064477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difference between capital market line and security market line</w:t>
      </w:r>
    </w:p>
    <w:p w:rsidR="0064477A" w:rsidRDefault="0064477A" w:rsidP="0064477A">
      <w:pPr>
        <w:pStyle w:val="ListParagraph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 marks)</w:t>
      </w:r>
    </w:p>
    <w:p w:rsidR="006513CD" w:rsidRDefault="006513CD" w:rsidP="006513C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3C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following table show the returns of three major classes of risky assets, the market and zero beta security under four state of nature:</w:t>
      </w:r>
    </w:p>
    <w:tbl>
      <w:tblPr>
        <w:tblStyle w:val="TableGrid"/>
        <w:tblW w:w="0" w:type="auto"/>
        <w:tblLook w:val="04A0"/>
      </w:tblPr>
      <w:tblGrid>
        <w:gridCol w:w="738"/>
        <w:gridCol w:w="1270"/>
        <w:gridCol w:w="1644"/>
        <w:gridCol w:w="956"/>
        <w:gridCol w:w="990"/>
        <w:gridCol w:w="900"/>
        <w:gridCol w:w="720"/>
        <w:gridCol w:w="2358"/>
      </w:tblGrid>
      <w:tr w:rsidR="002D4889" w:rsidTr="006513CD">
        <w:tc>
          <w:tcPr>
            <w:tcW w:w="738" w:type="dxa"/>
            <w:vMerge w:val="restart"/>
          </w:tcPr>
          <w:p w:rsidR="002D4889" w:rsidRPr="006513CD" w:rsidRDefault="002D4889" w:rsidP="006513CD">
            <w:pPr>
              <w:rPr>
                <w:rFonts w:ascii="Times New Roman" w:hAnsi="Times New Roman"/>
                <w:b/>
              </w:rPr>
            </w:pPr>
            <w:r w:rsidRPr="006513CD">
              <w:rPr>
                <w:rFonts w:ascii="Times New Roman" w:hAnsi="Times New Roman"/>
                <w:b/>
              </w:rPr>
              <w:t>state</w:t>
            </w:r>
          </w:p>
        </w:tc>
        <w:tc>
          <w:tcPr>
            <w:tcW w:w="1270" w:type="dxa"/>
            <w:vMerge w:val="restart"/>
          </w:tcPr>
          <w:p w:rsidR="002D4889" w:rsidRPr="006513CD" w:rsidRDefault="002D4889" w:rsidP="006513CD">
            <w:pPr>
              <w:rPr>
                <w:rFonts w:ascii="Times New Roman" w:hAnsi="Times New Roman"/>
                <w:b/>
              </w:rPr>
            </w:pPr>
            <w:r w:rsidRPr="006513CD">
              <w:rPr>
                <w:rFonts w:ascii="Times New Roman" w:hAnsi="Times New Roman"/>
                <w:b/>
              </w:rPr>
              <w:t>probability</w:t>
            </w:r>
          </w:p>
        </w:tc>
        <w:tc>
          <w:tcPr>
            <w:tcW w:w="1644" w:type="dxa"/>
            <w:vMerge w:val="restart"/>
          </w:tcPr>
          <w:p w:rsidR="002D4889" w:rsidRDefault="002D4889" w:rsidP="006513CD">
            <w:pPr>
              <w:rPr>
                <w:rFonts w:ascii="Times New Roman" w:hAnsi="Times New Roman"/>
                <w:b/>
                <w:vertAlign w:val="subscript"/>
              </w:rPr>
            </w:pPr>
            <w:r w:rsidRPr="006513CD">
              <w:rPr>
                <w:rFonts w:ascii="Times New Roman" w:hAnsi="Times New Roman"/>
                <w:b/>
              </w:rPr>
              <w:t>Market return R</w:t>
            </w:r>
            <w:r w:rsidRPr="006513CD">
              <w:rPr>
                <w:rFonts w:ascii="Times New Roman" w:hAnsi="Times New Roman"/>
                <w:b/>
                <w:vertAlign w:val="subscript"/>
              </w:rPr>
              <w:t>m</w:t>
            </w:r>
          </w:p>
          <w:p w:rsidR="002D4889" w:rsidRPr="006513CD" w:rsidRDefault="002D4889" w:rsidP="006513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66" w:type="dxa"/>
            <w:gridSpan w:val="4"/>
          </w:tcPr>
          <w:p w:rsidR="002D4889" w:rsidRPr="006513CD" w:rsidRDefault="002D4889" w:rsidP="006513CD">
            <w:pPr>
              <w:rPr>
                <w:rFonts w:ascii="Times New Roman" w:hAnsi="Times New Roman"/>
                <w:b/>
              </w:rPr>
            </w:pPr>
            <w:r w:rsidRPr="006513CD">
              <w:rPr>
                <w:rFonts w:ascii="Times New Roman" w:hAnsi="Times New Roman"/>
                <w:b/>
              </w:rPr>
              <w:t>Securities rate of return</w:t>
            </w:r>
          </w:p>
        </w:tc>
        <w:tc>
          <w:tcPr>
            <w:tcW w:w="2358" w:type="dxa"/>
          </w:tcPr>
          <w:p w:rsidR="002D4889" w:rsidRPr="006513CD" w:rsidRDefault="002D4889" w:rsidP="006513CD">
            <w:pPr>
              <w:rPr>
                <w:rFonts w:ascii="Times New Roman" w:hAnsi="Times New Roman"/>
                <w:b/>
              </w:rPr>
            </w:pPr>
            <w:r w:rsidRPr="006513CD">
              <w:rPr>
                <w:rFonts w:ascii="Times New Roman" w:hAnsi="Times New Roman"/>
                <w:b/>
              </w:rPr>
              <w:t>Return on a zero beta security</w:t>
            </w:r>
          </w:p>
        </w:tc>
      </w:tr>
      <w:tr w:rsidR="002D4889" w:rsidTr="002D4889">
        <w:tc>
          <w:tcPr>
            <w:tcW w:w="738" w:type="dxa"/>
            <w:vMerge/>
          </w:tcPr>
          <w:p w:rsidR="002D4889" w:rsidRPr="006513CD" w:rsidRDefault="002D4889" w:rsidP="006513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0" w:type="dxa"/>
            <w:vMerge/>
          </w:tcPr>
          <w:p w:rsidR="002D4889" w:rsidRPr="006513CD" w:rsidRDefault="002D4889" w:rsidP="006513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44" w:type="dxa"/>
            <w:vMerge/>
          </w:tcPr>
          <w:p w:rsidR="002D4889" w:rsidRPr="006513CD" w:rsidRDefault="002D4889" w:rsidP="006513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56" w:type="dxa"/>
          </w:tcPr>
          <w:p w:rsidR="002D4889" w:rsidRPr="006513CD" w:rsidRDefault="002D4889" w:rsidP="006513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</w:t>
            </w:r>
            <w:r w:rsidRPr="002D4889">
              <w:rPr>
                <w:rFonts w:ascii="Times New Roman" w:hAnsi="Times New Roman"/>
                <w:b/>
                <w:vertAlign w:val="subscript"/>
              </w:rPr>
              <w:t>A</w:t>
            </w:r>
          </w:p>
        </w:tc>
        <w:tc>
          <w:tcPr>
            <w:tcW w:w="990" w:type="dxa"/>
          </w:tcPr>
          <w:p w:rsidR="002D4889" w:rsidRPr="006513CD" w:rsidRDefault="002D4889" w:rsidP="006513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</w:t>
            </w:r>
            <w:r w:rsidRPr="002D4889">
              <w:rPr>
                <w:rFonts w:ascii="Times New Roman" w:hAnsi="Times New Roman"/>
                <w:b/>
                <w:vertAlign w:val="subscript"/>
              </w:rPr>
              <w:t>B</w:t>
            </w:r>
          </w:p>
        </w:tc>
        <w:tc>
          <w:tcPr>
            <w:tcW w:w="900" w:type="dxa"/>
          </w:tcPr>
          <w:p w:rsidR="002D4889" w:rsidRPr="006513CD" w:rsidRDefault="002D4889" w:rsidP="006513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</w:t>
            </w:r>
            <w:r w:rsidRPr="002D4889">
              <w:rPr>
                <w:rFonts w:ascii="Times New Roman" w:hAnsi="Times New Roman"/>
                <w:b/>
                <w:vertAlign w:val="subscript"/>
              </w:rPr>
              <w:t>C</w:t>
            </w:r>
          </w:p>
        </w:tc>
        <w:tc>
          <w:tcPr>
            <w:tcW w:w="720" w:type="dxa"/>
          </w:tcPr>
          <w:p w:rsidR="002D4889" w:rsidRPr="006513CD" w:rsidRDefault="002D4889" w:rsidP="006513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</w:t>
            </w:r>
            <w:r w:rsidRPr="002D4889">
              <w:rPr>
                <w:rFonts w:ascii="Times New Roman" w:hAnsi="Times New Roman"/>
                <w:b/>
                <w:vertAlign w:val="subscript"/>
              </w:rPr>
              <w:t>D</w:t>
            </w:r>
          </w:p>
        </w:tc>
        <w:tc>
          <w:tcPr>
            <w:tcW w:w="2358" w:type="dxa"/>
          </w:tcPr>
          <w:p w:rsidR="002D4889" w:rsidRPr="006513CD" w:rsidRDefault="002D4889" w:rsidP="006513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</w:t>
            </w:r>
            <w:r w:rsidRPr="002D4889">
              <w:rPr>
                <w:rFonts w:ascii="Times New Roman" w:hAnsi="Times New Roman"/>
                <w:b/>
                <w:vertAlign w:val="subscript"/>
              </w:rPr>
              <w:t>Z</w:t>
            </w:r>
          </w:p>
        </w:tc>
      </w:tr>
      <w:tr w:rsidR="006513CD" w:rsidTr="002D4889">
        <w:tc>
          <w:tcPr>
            <w:tcW w:w="738" w:type="dxa"/>
          </w:tcPr>
          <w:p w:rsidR="006513CD" w:rsidRDefault="002D4889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S1</w:t>
            </w:r>
          </w:p>
        </w:tc>
        <w:tc>
          <w:tcPr>
            <w:tcW w:w="1270" w:type="dxa"/>
          </w:tcPr>
          <w:p w:rsidR="006513CD" w:rsidRDefault="002D4889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</w:t>
            </w:r>
          </w:p>
        </w:tc>
        <w:tc>
          <w:tcPr>
            <w:tcW w:w="1644" w:type="dxa"/>
          </w:tcPr>
          <w:p w:rsidR="006513CD" w:rsidRDefault="002D4889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-30%</w:t>
            </w:r>
          </w:p>
        </w:tc>
        <w:tc>
          <w:tcPr>
            <w:tcW w:w="956" w:type="dxa"/>
          </w:tcPr>
          <w:p w:rsidR="006513CD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-46%</w:t>
            </w:r>
          </w:p>
        </w:tc>
        <w:tc>
          <w:tcPr>
            <w:tcW w:w="990" w:type="dxa"/>
          </w:tcPr>
          <w:p w:rsidR="006513CD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-400%</w:t>
            </w:r>
          </w:p>
        </w:tc>
        <w:tc>
          <w:tcPr>
            <w:tcW w:w="900" w:type="dxa"/>
          </w:tcPr>
          <w:p w:rsidR="006513CD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-40</w:t>
            </w:r>
          </w:p>
        </w:tc>
        <w:tc>
          <w:tcPr>
            <w:tcW w:w="720" w:type="dxa"/>
          </w:tcPr>
          <w:p w:rsidR="006513CD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-40</w:t>
            </w:r>
          </w:p>
        </w:tc>
        <w:tc>
          <w:tcPr>
            <w:tcW w:w="2358" w:type="dxa"/>
          </w:tcPr>
          <w:p w:rsidR="006513CD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</w:tr>
      <w:tr w:rsidR="002D4889" w:rsidTr="002D4889">
        <w:tc>
          <w:tcPr>
            <w:tcW w:w="738" w:type="dxa"/>
          </w:tcPr>
          <w:p w:rsidR="002D4889" w:rsidRDefault="002D4889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S2</w:t>
            </w:r>
          </w:p>
        </w:tc>
        <w:tc>
          <w:tcPr>
            <w:tcW w:w="1270" w:type="dxa"/>
          </w:tcPr>
          <w:p w:rsidR="002D4889" w:rsidRDefault="002D4889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644" w:type="dxa"/>
          </w:tcPr>
          <w:p w:rsidR="002D4889" w:rsidRDefault="002D4889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956" w:type="dxa"/>
          </w:tcPr>
          <w:p w:rsidR="002D4889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-26</w:t>
            </w:r>
          </w:p>
        </w:tc>
        <w:tc>
          <w:tcPr>
            <w:tcW w:w="990" w:type="dxa"/>
          </w:tcPr>
          <w:p w:rsidR="002D4889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900" w:type="dxa"/>
          </w:tcPr>
          <w:p w:rsidR="002D4889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</w:t>
            </w:r>
          </w:p>
        </w:tc>
        <w:tc>
          <w:tcPr>
            <w:tcW w:w="720" w:type="dxa"/>
          </w:tcPr>
          <w:p w:rsidR="002D4889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</w:t>
            </w:r>
          </w:p>
        </w:tc>
        <w:tc>
          <w:tcPr>
            <w:tcW w:w="2358" w:type="dxa"/>
          </w:tcPr>
          <w:p w:rsidR="002D4889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D4889" w:rsidTr="002D4889">
        <w:tc>
          <w:tcPr>
            <w:tcW w:w="738" w:type="dxa"/>
          </w:tcPr>
          <w:p w:rsidR="002D4889" w:rsidRDefault="002D4889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S3</w:t>
            </w:r>
          </w:p>
        </w:tc>
        <w:tc>
          <w:tcPr>
            <w:tcW w:w="1270" w:type="dxa"/>
          </w:tcPr>
          <w:p w:rsidR="002D4889" w:rsidRDefault="002D4889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  <w:tc>
          <w:tcPr>
            <w:tcW w:w="1644" w:type="dxa"/>
          </w:tcPr>
          <w:p w:rsidR="002D4889" w:rsidRDefault="002D4889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</w:tcPr>
          <w:p w:rsidR="002D4889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0" w:type="dxa"/>
          </w:tcPr>
          <w:p w:rsidR="002D4889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2D4889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2D4889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58" w:type="dxa"/>
          </w:tcPr>
          <w:p w:rsidR="002D4889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D4889" w:rsidTr="002D4889">
        <w:tc>
          <w:tcPr>
            <w:tcW w:w="738" w:type="dxa"/>
          </w:tcPr>
          <w:p w:rsidR="002D4889" w:rsidRDefault="002D4889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S4</w:t>
            </w:r>
          </w:p>
        </w:tc>
        <w:tc>
          <w:tcPr>
            <w:tcW w:w="1270" w:type="dxa"/>
          </w:tcPr>
          <w:p w:rsidR="002D4889" w:rsidRDefault="002D4889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1644" w:type="dxa"/>
          </w:tcPr>
          <w:p w:rsidR="002D4889" w:rsidRDefault="002D4889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56" w:type="dxa"/>
          </w:tcPr>
          <w:p w:rsidR="002D4889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2D4889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2D4889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20" w:type="dxa"/>
          </w:tcPr>
          <w:p w:rsidR="002D4889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58" w:type="dxa"/>
          </w:tcPr>
          <w:p w:rsidR="002D4889" w:rsidRDefault="00395714" w:rsidP="00651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6513CD" w:rsidRDefault="006513CD" w:rsidP="006513CD">
      <w:pPr>
        <w:rPr>
          <w:rFonts w:ascii="Times New Roman" w:hAnsi="Times New Roman"/>
          <w:sz w:val="24"/>
          <w:szCs w:val="24"/>
        </w:rPr>
      </w:pPr>
    </w:p>
    <w:p w:rsidR="00AC1A5A" w:rsidRPr="001735A4" w:rsidRDefault="00AC1A5A" w:rsidP="006513CD">
      <w:pPr>
        <w:rPr>
          <w:rFonts w:ascii="Times New Roman" w:hAnsi="Times New Roman"/>
          <w:b/>
          <w:sz w:val="24"/>
          <w:szCs w:val="24"/>
        </w:rPr>
      </w:pPr>
      <w:r w:rsidRPr="001735A4">
        <w:rPr>
          <w:rFonts w:ascii="Times New Roman" w:hAnsi="Times New Roman"/>
          <w:b/>
          <w:sz w:val="24"/>
          <w:szCs w:val="24"/>
        </w:rPr>
        <w:t>Required:</w:t>
      </w:r>
    </w:p>
    <w:p w:rsidR="00AC1A5A" w:rsidRDefault="00AC1A5A" w:rsidP="006513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which of the three securities you will invest in using CAPM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AC1A5A" w:rsidRDefault="00AC1A5A" w:rsidP="006513CD">
      <w:pPr>
        <w:rPr>
          <w:rFonts w:ascii="Times New Roman" w:hAnsi="Times New Roman"/>
          <w:sz w:val="24"/>
          <w:szCs w:val="24"/>
        </w:rPr>
      </w:pPr>
    </w:p>
    <w:p w:rsidR="00AC1A5A" w:rsidRDefault="00AC1A5A" w:rsidP="006513CD">
      <w:pPr>
        <w:rPr>
          <w:rFonts w:ascii="Times New Roman" w:hAnsi="Times New Roman"/>
          <w:sz w:val="24"/>
          <w:szCs w:val="24"/>
        </w:rPr>
      </w:pPr>
    </w:p>
    <w:p w:rsidR="00AC1A5A" w:rsidRDefault="00AC1A5A" w:rsidP="001735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the benefits of E commerce in financial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C1A5A" w:rsidRDefault="00AC1A5A" w:rsidP="001735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differences between the option and a future as tool for hedgind risk</w:t>
      </w:r>
      <w:r>
        <w:rPr>
          <w:rFonts w:ascii="Times New Roman" w:hAnsi="Times New Roman"/>
          <w:sz w:val="24"/>
          <w:szCs w:val="24"/>
        </w:rPr>
        <w:tab/>
      </w:r>
    </w:p>
    <w:p w:rsidR="00AC1A5A" w:rsidRDefault="00AC1A5A" w:rsidP="00AC1A5A">
      <w:pPr>
        <w:pStyle w:val="ListParagraph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1735A4" w:rsidRDefault="001735A4" w:rsidP="001735A4">
      <w:pPr>
        <w:rPr>
          <w:rFonts w:ascii="Times New Roman" w:hAnsi="Times New Roman"/>
          <w:sz w:val="24"/>
          <w:szCs w:val="24"/>
        </w:rPr>
      </w:pPr>
    </w:p>
    <w:p w:rsidR="001735A4" w:rsidRPr="001735A4" w:rsidRDefault="001735A4" w:rsidP="001735A4">
      <w:pPr>
        <w:rPr>
          <w:rFonts w:ascii="Times New Roman" w:hAnsi="Times New Roman"/>
          <w:b/>
          <w:sz w:val="24"/>
          <w:szCs w:val="24"/>
        </w:rPr>
      </w:pPr>
      <w:r w:rsidRPr="001735A4">
        <w:rPr>
          <w:rFonts w:ascii="Times New Roman" w:hAnsi="Times New Roman"/>
          <w:b/>
          <w:sz w:val="24"/>
          <w:szCs w:val="24"/>
        </w:rPr>
        <w:t>QUESTION TWO</w:t>
      </w:r>
    </w:p>
    <w:p w:rsidR="001735A4" w:rsidRDefault="001735A4" w:rsidP="004F651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differences between Markowitz model and the market model of portfolio theory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F6515" w:rsidRDefault="004F6515" w:rsidP="004F651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are the excess return on two securities A and B and that of the market over 4 periods.</w:t>
      </w:r>
    </w:p>
    <w:tbl>
      <w:tblPr>
        <w:tblStyle w:val="TableGrid"/>
        <w:tblW w:w="0" w:type="auto"/>
        <w:tblInd w:w="720" w:type="dxa"/>
        <w:tblLook w:val="04A0"/>
      </w:tblPr>
      <w:tblGrid>
        <w:gridCol w:w="2231"/>
        <w:gridCol w:w="2224"/>
        <w:gridCol w:w="2251"/>
        <w:gridCol w:w="2150"/>
      </w:tblGrid>
      <w:tr w:rsidR="000817C3" w:rsidTr="000817C3">
        <w:tc>
          <w:tcPr>
            <w:tcW w:w="2231" w:type="dxa"/>
            <w:vMerge w:val="restart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Periods</w:t>
            </w:r>
          </w:p>
        </w:tc>
        <w:tc>
          <w:tcPr>
            <w:tcW w:w="2224" w:type="dxa"/>
            <w:vMerge w:val="restart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Excess return on market (%)</w:t>
            </w:r>
          </w:p>
        </w:tc>
        <w:tc>
          <w:tcPr>
            <w:tcW w:w="4401" w:type="dxa"/>
            <w:gridSpan w:val="2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Excess return on securities (%)</w:t>
            </w:r>
          </w:p>
        </w:tc>
      </w:tr>
      <w:tr w:rsidR="000817C3" w:rsidTr="000817C3">
        <w:tc>
          <w:tcPr>
            <w:tcW w:w="2231" w:type="dxa"/>
            <w:vMerge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150" w:type="dxa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0817C3" w:rsidTr="000817C3">
        <w:tc>
          <w:tcPr>
            <w:tcW w:w="2231" w:type="dxa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4" w:type="dxa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51" w:type="dxa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50" w:type="dxa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817C3" w:rsidTr="000817C3">
        <w:tc>
          <w:tcPr>
            <w:tcW w:w="2231" w:type="dxa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51" w:type="dxa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50" w:type="dxa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817C3" w:rsidTr="000817C3">
        <w:tc>
          <w:tcPr>
            <w:tcW w:w="2231" w:type="dxa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4" w:type="dxa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51" w:type="dxa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50" w:type="dxa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817C3" w:rsidTr="000817C3">
        <w:tc>
          <w:tcPr>
            <w:tcW w:w="2231" w:type="dxa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4" w:type="dxa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51" w:type="dxa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50" w:type="dxa"/>
          </w:tcPr>
          <w:p w:rsidR="000817C3" w:rsidRDefault="000817C3" w:rsidP="004F651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756FC0" w:rsidRDefault="00756FC0" w:rsidP="00756FC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56FC0" w:rsidRPr="00756FC0" w:rsidRDefault="00756FC0" w:rsidP="00756FC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56FC0">
        <w:rPr>
          <w:rFonts w:ascii="Times New Roman" w:hAnsi="Times New Roman"/>
          <w:b/>
          <w:sz w:val="24"/>
          <w:szCs w:val="24"/>
        </w:rPr>
        <w:t>Required:</w:t>
      </w:r>
    </w:p>
    <w:p w:rsidR="00756FC0" w:rsidRDefault="00756FC0" w:rsidP="00756FC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characteristic line for the securities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756FC0" w:rsidRDefault="00756FC0" w:rsidP="00756FC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non market risk for the two securities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1631D" w:rsidRDefault="00B1631D" w:rsidP="00B1631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1631D" w:rsidRPr="00B1631D" w:rsidRDefault="00B1631D" w:rsidP="00B1631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1631D">
        <w:rPr>
          <w:rFonts w:ascii="Times New Roman" w:hAnsi="Times New Roman"/>
          <w:b/>
          <w:sz w:val="24"/>
          <w:szCs w:val="24"/>
        </w:rPr>
        <w:t>QUESTION THREE</w:t>
      </w:r>
    </w:p>
    <w:p w:rsidR="00B1631D" w:rsidRDefault="00B1631D" w:rsidP="00B1631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limitations of composite performance measure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1631D" w:rsidRDefault="00B1631D" w:rsidP="00B1631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is about the returns of two portfolio X and Y and that of the market under four state of nature:</w:t>
      </w:r>
    </w:p>
    <w:p w:rsidR="00B1631D" w:rsidRDefault="00B1631D" w:rsidP="00B1631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1631D" w:rsidRDefault="00B1631D" w:rsidP="00B1631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probability</w:t>
      </w:r>
      <w:r>
        <w:rPr>
          <w:rFonts w:ascii="Times New Roman" w:hAnsi="Times New Roman"/>
          <w:sz w:val="24"/>
          <w:szCs w:val="24"/>
        </w:rPr>
        <w:tab/>
        <w:t>portfolio returns (%)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market returns(%)</w:t>
      </w:r>
    </w:p>
    <w:p w:rsidR="00B1631D" w:rsidRDefault="00B1631D" w:rsidP="00B1631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Y</w:t>
      </w:r>
    </w:p>
    <w:p w:rsidR="00B1631D" w:rsidRDefault="00B1631D" w:rsidP="00B1631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</w:t>
      </w:r>
    </w:p>
    <w:p w:rsidR="00B1631D" w:rsidRDefault="00B1631D" w:rsidP="00B1631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</w:t>
      </w:r>
    </w:p>
    <w:p w:rsidR="00B1631D" w:rsidRDefault="00B1631D" w:rsidP="00B1631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</w:p>
    <w:p w:rsidR="00B1631D" w:rsidRDefault="00B1631D" w:rsidP="00B1631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</w:t>
      </w:r>
    </w:p>
    <w:p w:rsidR="00985517" w:rsidRDefault="00985517" w:rsidP="00B1631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risk free rate during the period was 4%</w:t>
      </w:r>
    </w:p>
    <w:p w:rsidR="00985517" w:rsidRPr="00985517" w:rsidRDefault="00985517" w:rsidP="00B1631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85517">
        <w:rPr>
          <w:rFonts w:ascii="Times New Roman" w:hAnsi="Times New Roman"/>
          <w:b/>
          <w:sz w:val="24"/>
          <w:szCs w:val="24"/>
        </w:rPr>
        <w:t>Required:</w:t>
      </w:r>
    </w:p>
    <w:p w:rsidR="00985517" w:rsidRDefault="00985517" w:rsidP="00B1631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performance of the above three portfolio using</w:t>
      </w:r>
    </w:p>
    <w:p w:rsidR="00985517" w:rsidRDefault="00985517" w:rsidP="009855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Sharpe measure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85517" w:rsidRDefault="00985517" w:rsidP="009855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Treynor measure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85517" w:rsidRDefault="00985517" w:rsidP="009855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Jensen Alpha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467B5D" w:rsidRDefault="00467B5D" w:rsidP="00467B5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67B5D" w:rsidRPr="00467B5D" w:rsidRDefault="00467B5D" w:rsidP="00467B5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67B5D">
        <w:rPr>
          <w:rFonts w:ascii="Times New Roman" w:hAnsi="Times New Roman"/>
          <w:b/>
          <w:sz w:val="24"/>
          <w:szCs w:val="24"/>
        </w:rPr>
        <w:t>QUESTION FOUR</w:t>
      </w:r>
    </w:p>
    <w:p w:rsidR="00467B5D" w:rsidRDefault="00467B5D" w:rsidP="00467B5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 between Crown Jewels and White Knight as a defense against hostile takeovers</w:t>
      </w:r>
      <w:r w:rsidR="00336295">
        <w:rPr>
          <w:rFonts w:ascii="Times New Roman" w:hAnsi="Times New Roman"/>
          <w:sz w:val="24"/>
          <w:szCs w:val="24"/>
        </w:rPr>
        <w:tab/>
      </w:r>
      <w:r w:rsidR="00336295">
        <w:rPr>
          <w:rFonts w:ascii="Times New Roman" w:hAnsi="Times New Roman"/>
          <w:sz w:val="24"/>
          <w:szCs w:val="24"/>
        </w:rPr>
        <w:tab/>
      </w:r>
      <w:r w:rsidR="00336295">
        <w:rPr>
          <w:rFonts w:ascii="Times New Roman" w:hAnsi="Times New Roman"/>
          <w:sz w:val="24"/>
          <w:szCs w:val="24"/>
        </w:rPr>
        <w:tab/>
      </w:r>
      <w:r w:rsidR="00336295">
        <w:rPr>
          <w:rFonts w:ascii="Times New Roman" w:hAnsi="Times New Roman"/>
          <w:sz w:val="24"/>
          <w:szCs w:val="24"/>
        </w:rPr>
        <w:tab/>
      </w:r>
      <w:r w:rsidR="00336295">
        <w:rPr>
          <w:rFonts w:ascii="Times New Roman" w:hAnsi="Times New Roman"/>
          <w:sz w:val="24"/>
          <w:szCs w:val="24"/>
        </w:rPr>
        <w:tab/>
      </w:r>
      <w:r w:rsidR="00336295">
        <w:rPr>
          <w:rFonts w:ascii="Times New Roman" w:hAnsi="Times New Roman"/>
          <w:sz w:val="24"/>
          <w:szCs w:val="24"/>
        </w:rPr>
        <w:tab/>
      </w:r>
      <w:r w:rsidR="00336295">
        <w:rPr>
          <w:rFonts w:ascii="Times New Roman" w:hAnsi="Times New Roman"/>
          <w:sz w:val="24"/>
          <w:szCs w:val="24"/>
        </w:rPr>
        <w:tab/>
      </w:r>
      <w:r w:rsidR="00336295">
        <w:rPr>
          <w:rFonts w:ascii="Times New Roman" w:hAnsi="Times New Roman"/>
          <w:sz w:val="24"/>
          <w:szCs w:val="24"/>
        </w:rPr>
        <w:tab/>
        <w:t>(5 marks)</w:t>
      </w:r>
    </w:p>
    <w:p w:rsidR="00467B5D" w:rsidRDefault="00467B5D" w:rsidP="00467B5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various methods used in determining the value of the target firm </w:t>
      </w:r>
      <w:r w:rsidR="00336295">
        <w:rPr>
          <w:rFonts w:ascii="Times New Roman" w:hAnsi="Times New Roman"/>
          <w:sz w:val="24"/>
          <w:szCs w:val="24"/>
        </w:rPr>
        <w:tab/>
        <w:t>(8 marks)</w:t>
      </w:r>
    </w:p>
    <w:p w:rsidR="00467B5D" w:rsidRDefault="00467B5D" w:rsidP="00467B5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Strong ltd wishes to takeover Weak ltd.  the financial details of the two companies before takeover were as follows:</w:t>
      </w:r>
    </w:p>
    <w:p w:rsidR="00467B5D" w:rsidRDefault="00467B5D" w:rsidP="00467B5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67B5D" w:rsidRDefault="00467B5D" w:rsidP="00467B5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67B5D" w:rsidRDefault="00467B5D" w:rsidP="00467B5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67B5D" w:rsidRPr="00467B5D" w:rsidRDefault="00467B5D" w:rsidP="00467B5D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978"/>
        <w:gridCol w:w="2430"/>
        <w:gridCol w:w="2448"/>
      </w:tblGrid>
      <w:tr w:rsidR="00467B5D" w:rsidTr="00467B5D">
        <w:tc>
          <w:tcPr>
            <w:tcW w:w="3978" w:type="dxa"/>
          </w:tcPr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67B5D" w:rsidRPr="00F564E0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64E0">
              <w:rPr>
                <w:rFonts w:ascii="Times New Roman" w:hAnsi="Times New Roman"/>
                <w:b/>
                <w:sz w:val="24"/>
                <w:szCs w:val="24"/>
              </w:rPr>
              <w:t>Strong ltd (000)</w:t>
            </w:r>
          </w:p>
        </w:tc>
        <w:tc>
          <w:tcPr>
            <w:tcW w:w="2448" w:type="dxa"/>
          </w:tcPr>
          <w:p w:rsidR="00467B5D" w:rsidRPr="00F564E0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64E0">
              <w:rPr>
                <w:rFonts w:ascii="Times New Roman" w:hAnsi="Times New Roman"/>
                <w:b/>
                <w:sz w:val="24"/>
                <w:szCs w:val="24"/>
              </w:rPr>
              <w:t>Weak ltd (000)</w:t>
            </w:r>
          </w:p>
        </w:tc>
      </w:tr>
      <w:tr w:rsidR="00467B5D" w:rsidTr="00467B5D">
        <w:tc>
          <w:tcPr>
            <w:tcW w:w="3978" w:type="dxa"/>
          </w:tcPr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Equity shares of ksh 10 each</w:t>
            </w:r>
          </w:p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Share premium account</w:t>
            </w:r>
          </w:p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Profit and loss account</w:t>
            </w:r>
          </w:p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Preference shares</w:t>
            </w:r>
          </w:p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 debentures</w:t>
            </w:r>
          </w:p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Non-current assets</w:t>
            </w:r>
          </w:p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 current assets</w:t>
            </w:r>
          </w:p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Market price per equity shares</w:t>
            </w:r>
          </w:p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Price earnings ratio</w:t>
            </w:r>
          </w:p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Ksh 100,000</w:t>
            </w:r>
          </w:p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38,000</w:t>
            </w:r>
          </w:p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20,000</w:t>
            </w:r>
          </w:p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15,000</w:t>
            </w:r>
          </w:p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122,000</w:t>
            </w:r>
          </w:p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51,000</w:t>
            </w:r>
          </w:p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467B5D" w:rsidRDefault="00467B5D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48" w:type="dxa"/>
          </w:tcPr>
          <w:p w:rsidR="00467B5D" w:rsidRDefault="00386E20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Ksh. 50,000</w:t>
            </w:r>
          </w:p>
          <w:p w:rsidR="00386E20" w:rsidRDefault="00386E20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2,000</w:t>
            </w:r>
          </w:p>
          <w:p w:rsidR="00386E20" w:rsidRDefault="00386E20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  <w:p w:rsidR="00386E20" w:rsidRDefault="00386E20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6E20" w:rsidRDefault="00386E20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5,000</w:t>
            </w:r>
          </w:p>
          <w:p w:rsidR="00386E20" w:rsidRDefault="00386E20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35,000</w:t>
            </w:r>
          </w:p>
          <w:p w:rsidR="00386E20" w:rsidRDefault="00386E20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26,000</w:t>
            </w:r>
          </w:p>
          <w:p w:rsidR="00386E20" w:rsidRDefault="00386E20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386E20" w:rsidRDefault="00386E20" w:rsidP="00467B5D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F564E0" w:rsidRDefault="00F564E0" w:rsidP="00F564E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564E0" w:rsidRPr="00052FC5" w:rsidRDefault="00F564E0" w:rsidP="00F564E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52FC5">
        <w:rPr>
          <w:rFonts w:ascii="Times New Roman" w:hAnsi="Times New Roman"/>
          <w:b/>
          <w:sz w:val="24"/>
          <w:szCs w:val="24"/>
        </w:rPr>
        <w:t>Required:</w:t>
      </w:r>
    </w:p>
    <w:p w:rsidR="00F564E0" w:rsidRDefault="00F564E0" w:rsidP="00F564E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offer will ltd make to Weak ltd in terms of exchange ratio based on:</w:t>
      </w:r>
    </w:p>
    <w:p w:rsidR="00F564E0" w:rsidRDefault="00F564E0" w:rsidP="00F564E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 asset value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564E0" w:rsidRDefault="00F564E0" w:rsidP="00F564E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Earnings per share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564E0" w:rsidRDefault="00F564E0" w:rsidP="00F564E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Market price per share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560B0" w:rsidRDefault="007560B0" w:rsidP="007560B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560B0" w:rsidRPr="000370C0" w:rsidRDefault="007560B0" w:rsidP="007560B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370C0">
        <w:rPr>
          <w:rFonts w:ascii="Times New Roman" w:hAnsi="Times New Roman"/>
          <w:b/>
          <w:sz w:val="24"/>
          <w:szCs w:val="24"/>
        </w:rPr>
        <w:t xml:space="preserve">QUESTION FIVE </w:t>
      </w:r>
    </w:p>
    <w:p w:rsidR="007560B0" w:rsidRDefault="007560B0" w:rsidP="007560B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why derivative market is not developed in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7560B0" w:rsidRDefault="007560B0" w:rsidP="007560B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applications of real option in finance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7560B0" w:rsidRPr="007560B0" w:rsidRDefault="007560B0" w:rsidP="007560B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 of credit referencing bureau in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7560B0" w:rsidRPr="007560B0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B5D" w:rsidRDefault="00524B5D" w:rsidP="00052FC5">
      <w:pPr>
        <w:spacing w:after="0" w:line="240" w:lineRule="auto"/>
      </w:pPr>
      <w:r>
        <w:separator/>
      </w:r>
    </w:p>
  </w:endnote>
  <w:endnote w:type="continuationSeparator" w:id="0">
    <w:p w:rsidR="00524B5D" w:rsidRDefault="00524B5D" w:rsidP="0005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8957"/>
      <w:docPartObj>
        <w:docPartGallery w:val="Page Numbers (Bottom of Page)"/>
        <w:docPartUnique/>
      </w:docPartObj>
    </w:sdtPr>
    <w:sdtContent>
      <w:p w:rsidR="00052FC5" w:rsidRDefault="00737B5D">
        <w:pPr>
          <w:pStyle w:val="Footer"/>
          <w:jc w:val="right"/>
        </w:pPr>
        <w:fldSimple w:instr=" PAGE   \* MERGEFORMAT ">
          <w:r w:rsidR="00336295">
            <w:rPr>
              <w:noProof/>
            </w:rPr>
            <w:t>3</w:t>
          </w:r>
        </w:fldSimple>
      </w:p>
    </w:sdtContent>
  </w:sdt>
  <w:p w:rsidR="00052FC5" w:rsidRDefault="00052F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B5D" w:rsidRDefault="00524B5D" w:rsidP="00052FC5">
      <w:pPr>
        <w:spacing w:after="0" w:line="240" w:lineRule="auto"/>
      </w:pPr>
      <w:r>
        <w:separator/>
      </w:r>
    </w:p>
  </w:footnote>
  <w:footnote w:type="continuationSeparator" w:id="0">
    <w:p w:rsidR="00524B5D" w:rsidRDefault="00524B5D" w:rsidP="00052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695E"/>
    <w:multiLevelType w:val="hybridMultilevel"/>
    <w:tmpl w:val="24C26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A2A74"/>
    <w:multiLevelType w:val="hybridMultilevel"/>
    <w:tmpl w:val="0A0CE2FA"/>
    <w:lvl w:ilvl="0" w:tplc="3CD417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329DA"/>
    <w:multiLevelType w:val="hybridMultilevel"/>
    <w:tmpl w:val="A020788C"/>
    <w:lvl w:ilvl="0" w:tplc="D74E59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224D9"/>
    <w:multiLevelType w:val="hybridMultilevel"/>
    <w:tmpl w:val="DA56C0F0"/>
    <w:lvl w:ilvl="0" w:tplc="D564E3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166CF"/>
    <w:multiLevelType w:val="hybridMultilevel"/>
    <w:tmpl w:val="422E3B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841DF"/>
    <w:multiLevelType w:val="hybridMultilevel"/>
    <w:tmpl w:val="1062C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E2C7F"/>
    <w:multiLevelType w:val="hybridMultilevel"/>
    <w:tmpl w:val="C96CBD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26F92"/>
    <w:multiLevelType w:val="hybridMultilevel"/>
    <w:tmpl w:val="3082321A"/>
    <w:lvl w:ilvl="0" w:tplc="D96EEA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77A"/>
    <w:rsid w:val="000370C0"/>
    <w:rsid w:val="00052FC5"/>
    <w:rsid w:val="000569CC"/>
    <w:rsid w:val="000817C3"/>
    <w:rsid w:val="001735A4"/>
    <w:rsid w:val="00200243"/>
    <w:rsid w:val="002D4889"/>
    <w:rsid w:val="00336295"/>
    <w:rsid w:val="003524B4"/>
    <w:rsid w:val="00386E20"/>
    <w:rsid w:val="00395714"/>
    <w:rsid w:val="00467B5D"/>
    <w:rsid w:val="004F6515"/>
    <w:rsid w:val="00524B5D"/>
    <w:rsid w:val="0064477A"/>
    <w:rsid w:val="006513CD"/>
    <w:rsid w:val="00737B5D"/>
    <w:rsid w:val="007560B0"/>
    <w:rsid w:val="00756FC0"/>
    <w:rsid w:val="007A536D"/>
    <w:rsid w:val="00985517"/>
    <w:rsid w:val="009A62B3"/>
    <w:rsid w:val="00AC1A5A"/>
    <w:rsid w:val="00B1631D"/>
    <w:rsid w:val="00C629DC"/>
    <w:rsid w:val="00DB1EA7"/>
    <w:rsid w:val="00F5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77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447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477A"/>
    <w:pPr>
      <w:ind w:left="720"/>
      <w:contextualSpacing/>
    </w:pPr>
  </w:style>
  <w:style w:type="table" w:styleId="TableGrid">
    <w:name w:val="Table Grid"/>
    <w:basedOn w:val="TableNormal"/>
    <w:uiPriority w:val="59"/>
    <w:rsid w:val="006513C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52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FC5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2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FC5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519</Words>
  <Characters>2964</Characters>
  <Application>Microsoft Office Word</Application>
  <DocSecurity>0</DocSecurity>
  <Lines>24</Lines>
  <Paragraphs>6</Paragraphs>
  <ScaleCrop>false</ScaleCrop>
  <Company>Microsoft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18</cp:revision>
  <dcterms:created xsi:type="dcterms:W3CDTF">2014-11-12T07:15:00Z</dcterms:created>
  <dcterms:modified xsi:type="dcterms:W3CDTF">2014-12-02T08:53:00Z</dcterms:modified>
</cp:coreProperties>
</file>