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DD" w:rsidRPr="005146F3" w:rsidRDefault="004F2BDD" w:rsidP="004F2BDD">
      <w:pPr>
        <w:rPr>
          <w:rFonts w:ascii="Times New Roman" w:hAnsi="Times New Roman"/>
          <w:b/>
          <w:sz w:val="24"/>
          <w:szCs w:val="24"/>
          <w:u w:val="single"/>
        </w:rPr>
      </w:pPr>
      <w:r w:rsidRPr="005146F3">
        <w:rPr>
          <w:rFonts w:ascii="Times New Roman" w:hAnsi="Times New Roman"/>
          <w:b/>
          <w:sz w:val="24"/>
          <w:szCs w:val="24"/>
          <w:u w:val="single"/>
        </w:rPr>
        <w:t>SPORTS MEDICINE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</w:t>
      </w:r>
    </w:p>
    <w:p w:rsidR="004F2BDD" w:rsidRPr="00CD4816" w:rsidRDefault="004F2BDD" w:rsidP="004F2BDD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D4816">
        <w:rPr>
          <w:rFonts w:ascii="Times New Roman" w:hAnsi="Times New Roman"/>
          <w:sz w:val="24"/>
          <w:szCs w:val="24"/>
        </w:rPr>
        <w:t>Which of the following does not explain the importance of on-the-field injury assessment?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It is a universal protocol in sports medicine.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It helps determine the nature of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It provides information regarding direction of treatment.</w:t>
      </w:r>
    </w:p>
    <w:p w:rsidR="004F2BDD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Without it appropriate acute care cannot be provided.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Which of the following statements is incorrect regarding the initial handling of unconsciousness resulting from sports injury?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The physiotherapist should assume neck and spine injury until proved otherwise.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If athlete is unconscious and breathing, nothing should be done until consciousness resumes.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 xml:space="preserve">If lying prone and breathing, the athlete should be carefully log-rolled into supine and then observed until consciousness resumes. 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If lying prone and not breathing, the athlete should be log-rolled carefully into supine position then CPR begun immediately.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When instituting an off-the-field evaluation of injury which question among these listed should the athlete be asked last? 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What is the matter?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How and when did it occur?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Did you hear or feel something?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In which direction did the movement occur?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Which of the following correctly explains the difference between therapeutic and conditioning exercises?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Therapeutic exercises apply in the course of treatment whereas conditioning exercises are used in prevention of or recovery from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Conditioning exercises apply in the course of treatment whereas therapeutic exercises are used to minimize risk of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Therapeutic exercises have a higher demand on stroke volume and maximum oxygen uptake as compared to conditioning exercises.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Conditioning exercises have a lower demand on stroke volume and maximum oxygen uptake as compared to therapeutic exercises.</w:t>
      </w:r>
    </w:p>
    <w:p w:rsidR="004F2BDD" w:rsidRPr="00725F31" w:rsidRDefault="004F2BDD" w:rsidP="004F2B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Among the observations required in management of foot injuries is whether the athlete ‘</w:t>
      </w:r>
      <w:proofErr w:type="spellStart"/>
      <w:r w:rsidRPr="00725F31">
        <w:rPr>
          <w:rFonts w:ascii="Times New Roman" w:hAnsi="Times New Roman"/>
          <w:sz w:val="24"/>
          <w:szCs w:val="24"/>
        </w:rPr>
        <w:t>favours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a foot’. What does ‘</w:t>
      </w:r>
      <w:proofErr w:type="spellStart"/>
      <w:r w:rsidRPr="00725F31">
        <w:rPr>
          <w:rFonts w:ascii="Times New Roman" w:hAnsi="Times New Roman"/>
          <w:sz w:val="24"/>
          <w:szCs w:val="24"/>
        </w:rPr>
        <w:t>favouring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a foot’ imply?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Being so mindful of his foot.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lastRenderedPageBreak/>
        <w:t>Relieving one foot from weight-bearing roles.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Pampering one foot in preference to the other.</w:t>
      </w:r>
    </w:p>
    <w:p w:rsidR="004F2BDD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Taking extreme care about how much weight to transfer to his feet.</w:t>
      </w:r>
    </w:p>
    <w:p w:rsidR="004F2BDD" w:rsidRPr="00F11E3B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If physical examination of an athlete revealed a positive Morton’s test, which of the following would be a differential diagnosis?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725F31">
        <w:rPr>
          <w:rFonts w:ascii="Times New Roman" w:hAnsi="Times New Roman"/>
          <w:b/>
          <w:sz w:val="24"/>
          <w:szCs w:val="24"/>
        </w:rPr>
        <w:t>Metatarsalgia</w:t>
      </w:r>
      <w:proofErr w:type="spellEnd"/>
      <w:r w:rsidRPr="00725F31">
        <w:rPr>
          <w:rFonts w:ascii="Times New Roman" w:hAnsi="Times New Roman"/>
          <w:b/>
          <w:sz w:val="24"/>
          <w:szCs w:val="24"/>
        </w:rPr>
        <w:t>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Morton’s toe.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F31">
        <w:rPr>
          <w:rFonts w:ascii="Times New Roman" w:hAnsi="Times New Roman"/>
          <w:sz w:val="24"/>
          <w:szCs w:val="24"/>
        </w:rPr>
        <w:t>Apophysitis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725F31">
        <w:rPr>
          <w:rFonts w:ascii="Times New Roman" w:hAnsi="Times New Roman"/>
          <w:sz w:val="24"/>
          <w:szCs w:val="24"/>
        </w:rPr>
        <w:t>calcaneum</w:t>
      </w:r>
      <w:proofErr w:type="spellEnd"/>
      <w:r w:rsidRPr="00725F31">
        <w:rPr>
          <w:rFonts w:ascii="Times New Roman" w:hAnsi="Times New Roman"/>
          <w:sz w:val="24"/>
          <w:szCs w:val="24"/>
        </w:rPr>
        <w:t>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F31">
        <w:rPr>
          <w:rFonts w:ascii="Times New Roman" w:hAnsi="Times New Roman"/>
          <w:sz w:val="24"/>
          <w:szCs w:val="24"/>
        </w:rPr>
        <w:t>Retrocalcaneal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bursitis.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725F31">
        <w:rPr>
          <w:rFonts w:ascii="Times New Roman" w:hAnsi="Times New Roman"/>
          <w:sz w:val="24"/>
          <w:szCs w:val="24"/>
        </w:rPr>
        <w:t>Kleiger’s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test is appropriate as a special test for the clinical diagnosis of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Damage to the deltoid ligament.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Tear of the anterior cruciate ligament.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Damage to the anterior </w:t>
      </w:r>
      <w:proofErr w:type="spellStart"/>
      <w:r w:rsidRPr="00725F31">
        <w:rPr>
          <w:rFonts w:ascii="Times New Roman" w:hAnsi="Times New Roman"/>
          <w:sz w:val="24"/>
          <w:szCs w:val="24"/>
        </w:rPr>
        <w:t>talofibular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ligament.</w:t>
      </w:r>
    </w:p>
    <w:p w:rsidR="004F2BDD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Tear of the posterior </w:t>
      </w:r>
      <w:proofErr w:type="spellStart"/>
      <w:r w:rsidRPr="00725F31">
        <w:rPr>
          <w:rFonts w:ascii="Times New Roman" w:hAnsi="Times New Roman"/>
          <w:sz w:val="24"/>
          <w:szCs w:val="24"/>
        </w:rPr>
        <w:t>talofibular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ligament.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725F31">
        <w:rPr>
          <w:rFonts w:ascii="Times New Roman" w:hAnsi="Times New Roman"/>
          <w:sz w:val="24"/>
          <w:szCs w:val="24"/>
        </w:rPr>
        <w:t>Tinel’s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sign is a special test which when performed in the foot assesses the integrity of: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F31">
        <w:rPr>
          <w:rFonts w:ascii="Times New Roman" w:hAnsi="Times New Roman"/>
          <w:sz w:val="24"/>
          <w:szCs w:val="24"/>
        </w:rPr>
        <w:t>Dorsalis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F31">
        <w:rPr>
          <w:rFonts w:ascii="Times New Roman" w:hAnsi="Times New Roman"/>
          <w:sz w:val="24"/>
          <w:szCs w:val="24"/>
        </w:rPr>
        <w:t>pedis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artery.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 xml:space="preserve">Posterior </w:t>
      </w:r>
      <w:proofErr w:type="spellStart"/>
      <w:r w:rsidRPr="00725F31">
        <w:rPr>
          <w:rFonts w:ascii="Times New Roman" w:hAnsi="Times New Roman"/>
          <w:b/>
          <w:sz w:val="24"/>
          <w:szCs w:val="24"/>
        </w:rPr>
        <w:t>tibial</w:t>
      </w:r>
      <w:proofErr w:type="spellEnd"/>
      <w:r w:rsidRPr="00725F31">
        <w:rPr>
          <w:rFonts w:ascii="Times New Roman" w:hAnsi="Times New Roman"/>
          <w:b/>
          <w:sz w:val="24"/>
          <w:szCs w:val="24"/>
        </w:rPr>
        <w:t xml:space="preserve"> nerve.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Posterior </w:t>
      </w:r>
      <w:proofErr w:type="spellStart"/>
      <w:r w:rsidRPr="00725F31">
        <w:rPr>
          <w:rFonts w:ascii="Times New Roman" w:hAnsi="Times New Roman"/>
          <w:sz w:val="24"/>
          <w:szCs w:val="24"/>
        </w:rPr>
        <w:t>tibial</w:t>
      </w:r>
      <w:proofErr w:type="spellEnd"/>
      <w:r w:rsidRPr="00725F31">
        <w:rPr>
          <w:rFonts w:ascii="Times New Roman" w:hAnsi="Times New Roman"/>
          <w:sz w:val="24"/>
          <w:szCs w:val="24"/>
        </w:rPr>
        <w:t xml:space="preserve"> artery.</w:t>
      </w:r>
    </w:p>
    <w:p w:rsidR="004F2BDD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Tarsal tunnel syndrome.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Which of the following statements is not true regarding sports-related foot injuries?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The weight-bearing role of the foot makes it so prone to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 xml:space="preserve">The weight-bearing role of the foot contributes to </w:t>
      </w:r>
      <w:proofErr w:type="gramStart"/>
      <w:r w:rsidRPr="00725F31">
        <w:rPr>
          <w:rFonts w:ascii="Times New Roman" w:hAnsi="Times New Roman"/>
          <w:sz w:val="24"/>
          <w:szCs w:val="24"/>
        </w:rPr>
        <w:t>delayed</w:t>
      </w:r>
      <w:proofErr w:type="gramEnd"/>
      <w:r w:rsidRPr="00725F31">
        <w:rPr>
          <w:rFonts w:ascii="Times New Roman" w:hAnsi="Times New Roman"/>
          <w:sz w:val="24"/>
          <w:szCs w:val="24"/>
        </w:rPr>
        <w:t xml:space="preserve"> healing of its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The relatively poor venous drainage contributes to delay healing of foot injury.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The bones of the foot fracture easily under stress because they are not long bones.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Default="004F2BDD" w:rsidP="004F2BD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2BDD" w:rsidRPr="00725F31" w:rsidRDefault="004F2BDD" w:rsidP="004F2BDD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lastRenderedPageBreak/>
        <w:t>Refer to the following slides:</w:t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  <w:sectPr w:rsidR="004F2BDD" w:rsidRPr="00725F31" w:rsidSect="00AE1A03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2143125" cy="1133475"/>
            <wp:effectExtent l="0" t="0" r="9525" b="9525"/>
            <wp:docPr id="2" name="Picture 2" descr="16-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-2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DD" w:rsidRPr="00725F31" w:rsidRDefault="004F2BDD" w:rsidP="004F2BDD">
      <w:pPr>
        <w:spacing w:after="0"/>
        <w:ind w:left="1440"/>
        <w:jc w:val="both"/>
        <w:rPr>
          <w:rFonts w:ascii="Times New Roman" w:hAnsi="Times New Roman"/>
          <w:sz w:val="24"/>
          <w:szCs w:val="24"/>
        </w:rPr>
      </w:pPr>
    </w:p>
    <w:p w:rsidR="004F2BDD" w:rsidRPr="00725F31" w:rsidRDefault="004F2BDD" w:rsidP="004F2BDD">
      <w:pPr>
        <w:spacing w:after="0"/>
        <w:ind w:left="1080" w:hanging="810"/>
        <w:jc w:val="both"/>
        <w:rPr>
          <w:rFonts w:ascii="Times New Roman" w:hAnsi="Times New Roman"/>
          <w:sz w:val="24"/>
          <w:szCs w:val="24"/>
        </w:rPr>
        <w:sectPr w:rsidR="004F2BDD" w:rsidRPr="00725F31" w:rsidSect="00AE1A0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143125" cy="1123950"/>
            <wp:effectExtent l="0" t="0" r="9525" b="0"/>
            <wp:docPr id="1" name="Picture 1" descr="16-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-2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DD" w:rsidRPr="00725F31" w:rsidRDefault="004F2BDD" w:rsidP="004F2BDD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lastRenderedPageBreak/>
        <w:t>What is the objective of the activity highlighted in the slides?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Strength training.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25F31">
        <w:rPr>
          <w:rFonts w:ascii="Times New Roman" w:hAnsi="Times New Roman"/>
          <w:b/>
          <w:sz w:val="24"/>
          <w:szCs w:val="24"/>
        </w:rPr>
        <w:t>Core stabilization.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Flexibility training.</w:t>
      </w:r>
    </w:p>
    <w:p w:rsidR="004F2BDD" w:rsidRPr="00725F31" w:rsidRDefault="004F2BDD" w:rsidP="004F2BDD">
      <w:pPr>
        <w:numPr>
          <w:ilvl w:val="1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5F31">
        <w:rPr>
          <w:rFonts w:ascii="Times New Roman" w:hAnsi="Times New Roman"/>
          <w:sz w:val="24"/>
          <w:szCs w:val="24"/>
        </w:rPr>
        <w:t>Endurance training.</w:t>
      </w:r>
    </w:p>
    <w:p w:rsidR="00B007AB" w:rsidRDefault="00B007AB">
      <w:bookmarkStart w:id="0" w:name="_GoBack"/>
      <w:bookmarkEnd w:id="0"/>
    </w:p>
    <w:sectPr w:rsidR="00B00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3" w:rsidRDefault="004F2BD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AE1A03" w:rsidRDefault="004F2BD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A03" w:rsidRPr="00CD3C97" w:rsidRDefault="004F2BDD" w:rsidP="00AE1A03">
    <w:pPr>
      <w:tabs>
        <w:tab w:val="left" w:pos="8151"/>
      </w:tabs>
      <w:jc w:val="right"/>
      <w:rPr>
        <w:rFonts w:ascii="Times New Roman" w:hAnsi="Times New Roman"/>
        <w:sz w:val="20"/>
        <w:szCs w:val="20"/>
      </w:rPr>
    </w:pPr>
    <w:r w:rsidRPr="00CD3C97">
      <w:rPr>
        <w:rFonts w:ascii="Times New Roman" w:hAnsi="Times New Roman"/>
        <w:sz w:val="20"/>
        <w:szCs w:val="20"/>
      </w:rPr>
      <w:t>KMTC/QP-08/</w:t>
    </w:r>
    <w:r>
      <w:rPr>
        <w:rFonts w:ascii="Times New Roman" w:hAnsi="Times New Roman"/>
        <w:sz w:val="20"/>
        <w:szCs w:val="20"/>
      </w:rPr>
      <w:t>EM</w:t>
    </w:r>
    <w:r w:rsidRPr="00CD3C97">
      <w:rPr>
        <w:rFonts w:ascii="Times New Roman" w:hAnsi="Times New Roman"/>
        <w:sz w:val="20"/>
        <w:szCs w:val="20"/>
      </w:rPr>
      <w:t>S</w:t>
    </w:r>
  </w:p>
  <w:p w:rsidR="00AE1A03" w:rsidRDefault="004F2BDD">
    <w:pPr>
      <w:pStyle w:val="Header"/>
    </w:pPr>
  </w:p>
  <w:p w:rsidR="00AE1A03" w:rsidRDefault="004F2B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729E"/>
    <w:multiLevelType w:val="hybridMultilevel"/>
    <w:tmpl w:val="F5BAA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DD"/>
    <w:rsid w:val="004F2BDD"/>
    <w:rsid w:val="00B0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D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D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DD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BD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B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DD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F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DD"/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2808</Characters>
  <Application>Microsoft Office Word</Application>
  <DocSecurity>0</DocSecurity>
  <Lines>23</Lines>
  <Paragraphs>6</Paragraphs>
  <ScaleCrop>false</ScaleCrop>
  <Company>Hewlett-Packard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Kuria</dc:creator>
  <cp:lastModifiedBy>Kuria</cp:lastModifiedBy>
  <cp:revision>1</cp:revision>
  <dcterms:created xsi:type="dcterms:W3CDTF">2014-10-28T16:52:00Z</dcterms:created>
  <dcterms:modified xsi:type="dcterms:W3CDTF">2014-10-28T16:52:00Z</dcterms:modified>
</cp:coreProperties>
</file>