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35" w:rsidRDefault="004D7A35" w:rsidP="004D7A35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59952857" wp14:editId="4A39891E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35" w:rsidRPr="001970DB" w:rsidRDefault="004D7A35" w:rsidP="004D7A35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4D7A35" w:rsidRPr="001970DB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4D7A35" w:rsidRPr="001970DB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2015/2016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4D7A35" w:rsidRPr="001970DB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THIRD 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YEAR FIRST SEMESTER EXAMINATION</w:t>
      </w:r>
    </w:p>
    <w:p w:rsidR="004D7A35" w:rsidRPr="001970DB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THE DEGREE OF BACHELOR OF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SCIENCE IN AGRO-FORESTRY AND RURAL DEVELOPMENT</w:t>
      </w:r>
    </w:p>
    <w:p w:rsidR="004D7A35" w:rsidRPr="001970DB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312</w:t>
      </w:r>
    </w:p>
    <w:p w:rsidR="004D7A35" w:rsidRPr="001970DB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 TITLE: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FORESTRY HYDROLOGY</w:t>
      </w:r>
    </w:p>
    <w:p w:rsidR="004D7A35" w:rsidRPr="001970DB" w:rsidRDefault="004D7A35" w:rsidP="004D7A35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DATE: 7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 w:rsid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DECEMBER, 2015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="002B0436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</w:t>
      </w:r>
      <w:r w:rsidR="002B0436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9 A.M- 12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4D7A35" w:rsidRPr="00A33981" w:rsidRDefault="004D7A35" w:rsidP="004D7A35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4D7A35" w:rsidRPr="00A33981" w:rsidRDefault="004D7A35" w:rsidP="004D7A35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ANSWER ALL QUESTIONS IN SECTION A AND ANY OTHER TWO QUESTIONS IN SECTION B.</w:t>
      </w:r>
    </w:p>
    <w:p w:rsidR="004D7A35" w:rsidRPr="00A33981" w:rsidRDefault="004D7A35" w:rsidP="004D7A35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 (Compulsory)</w:t>
      </w:r>
    </w:p>
    <w:p w:rsidR="004D7A35" w:rsidRDefault="004D7A35" w:rsidP="004D7A3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Define the following terms as used in forest hydrology.</w:t>
      </w:r>
    </w:p>
    <w:p w:rsidR="004D7A35" w:rsidRDefault="004D7A35" w:rsidP="004D7A3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Watershed. (1 mark)</w:t>
      </w:r>
    </w:p>
    <w:p w:rsidR="004D7A35" w:rsidRDefault="004D7A35" w:rsidP="004D7A3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Through fall. (1 mark)</w:t>
      </w:r>
    </w:p>
    <w:p w:rsidR="004D7A35" w:rsidRDefault="004D7A35" w:rsidP="004D7A3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Surface runoff. (1 mark)</w:t>
      </w:r>
    </w:p>
    <w:p w:rsidR="004D7A35" w:rsidRDefault="004D7A35" w:rsidP="004D7A3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Interception. (1 mark)</w:t>
      </w:r>
    </w:p>
    <w:p w:rsidR="004D7A35" w:rsidRDefault="004D7A35" w:rsidP="004D7A3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Forest influences. (1 mark)</w:t>
      </w:r>
    </w:p>
    <w:p w:rsidR="004D7A35" w:rsidRDefault="004D7A35" w:rsidP="004D7A3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Hydrological cycle. (1 mark)</w:t>
      </w:r>
    </w:p>
    <w:p w:rsidR="00DE6F87" w:rsidRDefault="00DE6F87" w:rsidP="00DE6F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principle of the mechanism of the tipping-bucket rain gauge. What are the advantages of this type of instrument compared to the non-recording rain gauge? (6 marks)</w:t>
      </w:r>
    </w:p>
    <w:p w:rsidR="00DE6F87" w:rsidRDefault="00DE6F87" w:rsidP="00DE6F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Briefly explain why a watershed is considered as a planning or a management unit in integrated natural resource management. (6 marks)</w:t>
      </w:r>
    </w:p>
    <w:p w:rsidR="00DE6F87" w:rsidRDefault="00DE6F87" w:rsidP="00DE6F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With a well labelled diagram, explain the hydrological cycle indicting its major processes. (6 marks)</w:t>
      </w:r>
    </w:p>
    <w:p w:rsidR="00DE6F87" w:rsidRPr="00DE6F87" w:rsidRDefault="00DE6F87" w:rsidP="00DE6F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DE6F87">
        <w:rPr>
          <w:rFonts w:ascii="Calibri" w:eastAsia="Calibri" w:hAnsi="Calibri" w:cs="Calibri"/>
          <w:color w:val="000000"/>
          <w:sz w:val="24"/>
          <w:szCs w:val="24"/>
        </w:rPr>
        <w:lastRenderedPageBreak/>
        <w:t>Explain with the help of a well labelled diagram, the method of stream gauging by the velocity-area method. (6 marks)</w:t>
      </w:r>
    </w:p>
    <w:p w:rsidR="00DE6F87" w:rsidRDefault="00DE6F87" w:rsidP="00DE6F87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DE6F8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B (Answer any two questions)</w:t>
      </w:r>
    </w:p>
    <w:p w:rsidR="00DE6F87" w:rsidRDefault="00DE6F87" w:rsidP="00DE6F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Explain how forests influence the disposal of rainfall in a watershed and the </w:t>
      </w:r>
      <w:r w:rsidR="00532982">
        <w:rPr>
          <w:rFonts w:ascii="Calibri" w:eastAsia="Calibri" w:hAnsi="Calibri" w:cs="Calibri"/>
          <w:color w:val="000000"/>
          <w:sz w:val="24"/>
          <w:szCs w:val="24"/>
        </w:rPr>
        <w:t>impact of this on the rainfall-runoff relationship and water quality. (20 marks)</w:t>
      </w:r>
    </w:p>
    <w:p w:rsidR="00532982" w:rsidRDefault="00532982" w:rsidP="00DE6F8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Point rainfall due to a storm at several rain gauge stations in a watershed are shown in the table below. Determine the mean rainfall over the watershed by:</w:t>
      </w:r>
    </w:p>
    <w:p w:rsidR="00532982" w:rsidRDefault="00532982" w:rsidP="00532982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Arithmetic Mean Method. (4 marks)</w:t>
      </w:r>
    </w:p>
    <w:p w:rsidR="00532982" w:rsidRDefault="00532982" w:rsidP="00532982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Thiessen Polygon Method. (16 marks)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1231"/>
        <w:gridCol w:w="1919"/>
        <w:gridCol w:w="2160"/>
      </w:tblGrid>
      <w:tr w:rsidR="00532982" w:rsidRPr="002B0436" w:rsidTr="00A33981">
        <w:tc>
          <w:tcPr>
            <w:tcW w:w="1231" w:type="dxa"/>
          </w:tcPr>
          <w:p w:rsidR="00532982" w:rsidRPr="002B0436" w:rsidRDefault="00532982" w:rsidP="002B0436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B043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Station</w:t>
            </w:r>
          </w:p>
        </w:tc>
        <w:tc>
          <w:tcPr>
            <w:tcW w:w="1919" w:type="dxa"/>
          </w:tcPr>
          <w:p w:rsidR="00532982" w:rsidRPr="002B0436" w:rsidRDefault="00532982" w:rsidP="002B0436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B043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Area of influential polygon (A)</w:t>
            </w:r>
          </w:p>
        </w:tc>
        <w:tc>
          <w:tcPr>
            <w:tcW w:w="2160" w:type="dxa"/>
          </w:tcPr>
          <w:p w:rsidR="00532982" w:rsidRPr="002B0436" w:rsidRDefault="00532982" w:rsidP="002B0436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B043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Rainfall recorded, P</w:t>
            </w:r>
            <w:r w:rsidRPr="002B043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vertAlign w:val="subscript"/>
              </w:rPr>
              <w:t>i</w:t>
            </w:r>
            <w:r w:rsidRPr="002B043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(cm)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9.3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10.5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10.9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12.2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13.5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14.0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14.2</w:t>
            </w:r>
          </w:p>
        </w:tc>
      </w:tr>
      <w:tr w:rsidR="00532982" w:rsidTr="00A33981">
        <w:tc>
          <w:tcPr>
            <w:tcW w:w="1231" w:type="dxa"/>
          </w:tcPr>
          <w:p w:rsidR="00532982" w:rsidRDefault="00532982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919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:rsidR="00532982" w:rsidRDefault="00A33981" w:rsidP="00A33981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12.8</w:t>
            </w:r>
          </w:p>
        </w:tc>
      </w:tr>
    </w:tbl>
    <w:p w:rsidR="00532982" w:rsidRDefault="00A33981" w:rsidP="00A3398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observed and anticipated impacts of one of the following factors of availability and access to water resources and forests. (20 marks)</w:t>
      </w:r>
    </w:p>
    <w:p w:rsidR="00FB7D45" w:rsidRDefault="00FB7D45" w:rsidP="00FB7D4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Climate change</w:t>
      </w:r>
    </w:p>
    <w:p w:rsidR="00FB7D45" w:rsidRDefault="00FB7D45" w:rsidP="00FB7D4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Population growth</w:t>
      </w:r>
    </w:p>
    <w:p w:rsidR="00FB7D45" w:rsidRDefault="00FB7D45" w:rsidP="00FB7D4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Urbanization</w:t>
      </w:r>
    </w:p>
    <w:p w:rsidR="00FB7D45" w:rsidRPr="00A33981" w:rsidRDefault="00FB7D45" w:rsidP="00FB7D4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Land use change</w:t>
      </w:r>
      <w:bookmarkStart w:id="0" w:name="_GoBack"/>
      <w:bookmarkEnd w:id="0"/>
    </w:p>
    <w:p w:rsidR="004D7A35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4D7A35" w:rsidRPr="001970DB" w:rsidRDefault="004D7A35" w:rsidP="004D7A3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462FA9" w:rsidRDefault="00462FA9"/>
    <w:sectPr w:rsidR="00462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C287C"/>
    <w:multiLevelType w:val="hybridMultilevel"/>
    <w:tmpl w:val="05B6579E"/>
    <w:lvl w:ilvl="0" w:tplc="5010D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E4012"/>
    <w:multiLevelType w:val="hybridMultilevel"/>
    <w:tmpl w:val="93187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35C1"/>
    <w:multiLevelType w:val="hybridMultilevel"/>
    <w:tmpl w:val="44AA883E"/>
    <w:lvl w:ilvl="0" w:tplc="56044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F844D4"/>
    <w:multiLevelType w:val="hybridMultilevel"/>
    <w:tmpl w:val="5CBE7DA6"/>
    <w:lvl w:ilvl="0" w:tplc="D58A8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35"/>
    <w:rsid w:val="002B0436"/>
    <w:rsid w:val="00462FA9"/>
    <w:rsid w:val="004D7A35"/>
    <w:rsid w:val="00532982"/>
    <w:rsid w:val="00A33981"/>
    <w:rsid w:val="00DE6F87"/>
    <w:rsid w:val="00F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CA714-8591-48FE-B597-2E9D7259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3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7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7A35"/>
    <w:pPr>
      <w:ind w:left="720"/>
      <w:contextualSpacing/>
    </w:pPr>
  </w:style>
  <w:style w:type="table" w:styleId="TableGrid">
    <w:name w:val="Table Grid"/>
    <w:basedOn w:val="TableNormal"/>
    <w:uiPriority w:val="39"/>
    <w:rsid w:val="00532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2018-05-29T04:13:00Z</dcterms:created>
  <dcterms:modified xsi:type="dcterms:W3CDTF">2018-05-29T09:55:00Z</dcterms:modified>
</cp:coreProperties>
</file>