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A6781A" w:rsidP="006158A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5.4pt;margin-top:-53.2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A6781A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A6781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9E5802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20B4E">
        <w:rPr>
          <w:rFonts w:ascii="Times New Roman" w:hAnsi="Times New Roman"/>
          <w:sz w:val="24"/>
          <w:szCs w:val="24"/>
        </w:rPr>
        <w:t xml:space="preserve"> </w:t>
      </w:r>
      <w:r w:rsidR="00AA4F68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AA4F68">
        <w:rPr>
          <w:rFonts w:ascii="Times New Roman" w:hAnsi="Times New Roman"/>
          <w:sz w:val="24"/>
          <w:szCs w:val="24"/>
        </w:rPr>
        <w:t xml:space="preserve">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 w:rsidR="00194213">
        <w:rPr>
          <w:rFonts w:ascii="Times New Roman" w:hAnsi="Times New Roman"/>
          <w:sz w:val="24"/>
          <w:szCs w:val="24"/>
        </w:rPr>
        <w:t>COMMERCE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6158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BFC </w:t>
      </w:r>
      <w:r w:rsidR="004E0AE0">
        <w:rPr>
          <w:rFonts w:ascii="Times New Roman" w:hAnsi="Times New Roman"/>
          <w:b/>
        </w:rPr>
        <w:t>3331</w:t>
      </w:r>
      <w:r w:rsidR="0090664E">
        <w:rPr>
          <w:rFonts w:ascii="Times New Roman" w:hAnsi="Times New Roman"/>
          <w:b/>
        </w:rPr>
        <w:t xml:space="preserve">: </w:t>
      </w:r>
      <w:r w:rsidR="004E0AE0">
        <w:rPr>
          <w:rFonts w:ascii="Times New Roman" w:hAnsi="Times New Roman"/>
          <w:b/>
        </w:rPr>
        <w:t>ADVANCED FINANCIAL MANAGEMENT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A6781A" w:rsidP="006158A8">
      <w:pPr>
        <w:spacing w:after="0" w:line="240" w:lineRule="auto"/>
        <w:rPr>
          <w:rFonts w:ascii="Times New Roman" w:hAnsi="Times New Roman"/>
          <w:b/>
        </w:rPr>
      </w:pPr>
      <w:r w:rsidRPr="00A6781A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953BFE" w:rsidRDefault="00953BFE" w:rsidP="006158A8">
      <w:pPr>
        <w:spacing w:after="0" w:line="240" w:lineRule="auto"/>
        <w:rPr>
          <w:rFonts w:ascii="Times New Roman" w:hAnsi="Times New Roman"/>
          <w:b/>
        </w:rPr>
      </w:pPr>
    </w:p>
    <w:p w:rsidR="00BC0477" w:rsidRDefault="00A6781A" w:rsidP="006158A8">
      <w:pPr>
        <w:spacing w:after="0" w:line="240" w:lineRule="auto"/>
      </w:pPr>
      <w:r w:rsidRPr="00A6781A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6158A8">
      <w:pPr>
        <w:spacing w:line="240" w:lineRule="auto"/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9E5802" w:rsidRDefault="009E580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whose cost of capital is 11% is considering two Machines X and H. Machine X  costs Kshs. 802,000 while Machine H costs Kshs. 705,000</w:t>
      </w:r>
    </w:p>
    <w:p w:rsidR="009E5802" w:rsidRDefault="00BF2396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is </w:t>
      </w:r>
      <w:r w:rsidR="009E5802">
        <w:rPr>
          <w:rFonts w:ascii="Times New Roman" w:hAnsi="Times New Roman"/>
          <w:sz w:val="24"/>
          <w:szCs w:val="24"/>
        </w:rPr>
        <w:t>available:</w:t>
      </w:r>
    </w:p>
    <w:tbl>
      <w:tblPr>
        <w:tblStyle w:val="TableGrid"/>
        <w:tblW w:w="0" w:type="auto"/>
        <w:tblLook w:val="04A0"/>
      </w:tblPr>
      <w:tblGrid>
        <w:gridCol w:w="1638"/>
        <w:gridCol w:w="2070"/>
        <w:gridCol w:w="2070"/>
      </w:tblGrid>
      <w:tr w:rsidR="009E086D" w:rsidTr="009E086D">
        <w:trPr>
          <w:trHeight w:hRule="exact" w:val="370"/>
        </w:trPr>
        <w:tc>
          <w:tcPr>
            <w:tcW w:w="1638" w:type="dxa"/>
          </w:tcPr>
          <w:p w:rsidR="00A04FCA" w:rsidRPr="009E086D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 w:rsidRPr="009E086D">
              <w:rPr>
                <w:rFonts w:ascii="Times New Roman" w:hAnsi="Times New Roman"/>
                <w:sz w:val="24"/>
                <w:szCs w:val="24"/>
              </w:rPr>
              <w:t>Cash inflows</w:t>
            </w:r>
          </w:p>
        </w:tc>
        <w:tc>
          <w:tcPr>
            <w:tcW w:w="2070" w:type="dxa"/>
          </w:tcPr>
          <w:p w:rsidR="00A04FCA" w:rsidRPr="009E086D" w:rsidRDefault="009E086D" w:rsidP="009E08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086D">
              <w:rPr>
                <w:rFonts w:ascii="Times New Roman" w:hAnsi="Times New Roman"/>
                <w:sz w:val="24"/>
                <w:szCs w:val="24"/>
              </w:rPr>
              <w:t xml:space="preserve">Machine X </w:t>
            </w:r>
            <w:r w:rsidR="00A04FCA" w:rsidRPr="009E086D">
              <w:rPr>
                <w:rFonts w:ascii="Times New Roman" w:hAnsi="Times New Roman"/>
                <w:sz w:val="24"/>
                <w:szCs w:val="24"/>
              </w:rPr>
              <w:t>(Kshs)</w:t>
            </w:r>
          </w:p>
        </w:tc>
        <w:tc>
          <w:tcPr>
            <w:tcW w:w="2070" w:type="dxa"/>
          </w:tcPr>
          <w:p w:rsidR="00A04FCA" w:rsidRPr="009E086D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 w:rsidRPr="009E086D">
              <w:rPr>
                <w:rFonts w:ascii="Times New Roman" w:hAnsi="Times New Roman"/>
                <w:sz w:val="24"/>
                <w:szCs w:val="24"/>
              </w:rPr>
              <w:t>Machine H (Kshs)</w:t>
            </w:r>
          </w:p>
        </w:tc>
      </w:tr>
      <w:tr w:rsidR="009E086D" w:rsidTr="009E086D">
        <w:trPr>
          <w:trHeight w:hRule="exact" w:val="352"/>
        </w:trPr>
        <w:tc>
          <w:tcPr>
            <w:tcW w:w="1638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4FCA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140,000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310,000</w:t>
            </w:r>
          </w:p>
        </w:tc>
      </w:tr>
      <w:tr w:rsidR="009E086D" w:rsidTr="009E086D">
        <w:trPr>
          <w:trHeight w:hRule="exact" w:val="352"/>
        </w:trPr>
        <w:tc>
          <w:tcPr>
            <w:tcW w:w="1638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4FCA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205,000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265,000</w:t>
            </w:r>
          </w:p>
        </w:tc>
      </w:tr>
      <w:tr w:rsidR="009E086D" w:rsidTr="009E086D">
        <w:trPr>
          <w:trHeight w:hRule="exact" w:val="370"/>
        </w:trPr>
        <w:tc>
          <w:tcPr>
            <w:tcW w:w="1638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4FCA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70" w:type="dxa"/>
          </w:tcPr>
          <w:p w:rsidR="00A04FCA" w:rsidRDefault="007A1C06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04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135,000</w:t>
            </w:r>
          </w:p>
        </w:tc>
      </w:tr>
      <w:tr w:rsidR="009E086D" w:rsidTr="009E086D">
        <w:trPr>
          <w:trHeight w:hRule="exact" w:val="352"/>
        </w:trPr>
        <w:tc>
          <w:tcPr>
            <w:tcW w:w="1638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4FC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295,000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160,000</w:t>
            </w:r>
          </w:p>
        </w:tc>
      </w:tr>
      <w:tr w:rsidR="009E086D" w:rsidTr="009E086D">
        <w:trPr>
          <w:trHeight w:hRule="exact" w:val="280"/>
        </w:trPr>
        <w:tc>
          <w:tcPr>
            <w:tcW w:w="1638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04FC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70" w:type="dxa"/>
          </w:tcPr>
          <w:p w:rsidR="00A04FCA" w:rsidRDefault="00A04FCA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545,000</w:t>
            </w:r>
          </w:p>
        </w:tc>
        <w:tc>
          <w:tcPr>
            <w:tcW w:w="2070" w:type="dxa"/>
          </w:tcPr>
          <w:p w:rsidR="00A04FCA" w:rsidRDefault="007A1C06" w:rsidP="00615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04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AB2" w:rsidRPr="00C44AB2" w:rsidRDefault="00C44AB2" w:rsidP="006158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44AB2" w:rsidRDefault="00C44AB2" w:rsidP="00A22D3F">
      <w:p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C44AB2">
        <w:rPr>
          <w:rFonts w:ascii="Times New Roman" w:hAnsi="Times New Roman"/>
          <w:b/>
          <w:sz w:val="24"/>
          <w:szCs w:val="24"/>
        </w:rPr>
        <w:t>Required:</w:t>
      </w:r>
    </w:p>
    <w:p w:rsidR="00C44AB2" w:rsidRDefault="00C44AB2" w:rsidP="00A22D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Recommended in which machine the company should invest in by using the following methods</w:t>
      </w:r>
    </w:p>
    <w:p w:rsidR="00C44AB2" w:rsidRDefault="00194F2D" w:rsidP="00A22D3F">
      <w:pPr>
        <w:pStyle w:val="ListParagraph"/>
        <w:numPr>
          <w:ilvl w:val="0"/>
          <w:numId w:val="13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 back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94F2D" w:rsidRDefault="00194F2D" w:rsidP="00A22D3F">
      <w:pPr>
        <w:pStyle w:val="ListParagraph"/>
        <w:numPr>
          <w:ilvl w:val="0"/>
          <w:numId w:val="13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present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194F2D" w:rsidRDefault="00194F2D" w:rsidP="00A22D3F">
      <w:pPr>
        <w:pStyle w:val="ListParagraph"/>
        <w:numPr>
          <w:ilvl w:val="0"/>
          <w:numId w:val="13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Profitability index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94F2D" w:rsidRDefault="00194F2D" w:rsidP="00A22D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are the main advantages of using the market value weight when determining the cost of capita of a company? List and explain any other two alternatives to the market value weights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94F2D" w:rsidRDefault="00194F2D" w:rsidP="00A22D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study conducted on the dividend policies of companies quoted in the Nairobi Securities Exchange </w:t>
      </w:r>
      <w:r w:rsidR="00BE105D">
        <w:rPr>
          <w:rFonts w:ascii="Times New Roman" w:hAnsi="Times New Roman"/>
          <w:sz w:val="24"/>
          <w:szCs w:val="24"/>
        </w:rPr>
        <w:t>established that</w:t>
      </w:r>
      <w:r>
        <w:rPr>
          <w:rFonts w:ascii="Times New Roman" w:hAnsi="Times New Roman"/>
          <w:sz w:val="24"/>
          <w:szCs w:val="24"/>
        </w:rPr>
        <w:t xml:space="preserve"> companies exhibit diversity in their dividend payments. State and explain the main Determinants </w:t>
      </w:r>
      <w:r w:rsidR="00BE105D">
        <w:rPr>
          <w:rFonts w:ascii="Times New Roman" w:hAnsi="Times New Roman"/>
          <w:sz w:val="24"/>
          <w:szCs w:val="24"/>
        </w:rPr>
        <w:t xml:space="preserve">of Dividend Policy of quoted companies in Kenya </w:t>
      </w:r>
      <w:r w:rsidR="00BE105D">
        <w:rPr>
          <w:rFonts w:ascii="Times New Roman" w:hAnsi="Times New Roman"/>
          <w:sz w:val="24"/>
          <w:szCs w:val="24"/>
        </w:rPr>
        <w:tab/>
      </w:r>
      <w:r w:rsidR="00BE105D">
        <w:rPr>
          <w:rFonts w:ascii="Times New Roman" w:hAnsi="Times New Roman"/>
          <w:sz w:val="24"/>
          <w:szCs w:val="24"/>
        </w:rPr>
        <w:tab/>
      </w:r>
      <w:r w:rsidR="00BE105D">
        <w:rPr>
          <w:rFonts w:ascii="Times New Roman" w:hAnsi="Times New Roman"/>
          <w:sz w:val="24"/>
          <w:szCs w:val="24"/>
        </w:rPr>
        <w:tab/>
        <w:t>(10 Marks)</w:t>
      </w:r>
    </w:p>
    <w:p w:rsidR="00EA327C" w:rsidRDefault="009411F8" w:rsidP="00A22D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project costs Kshs 9,000,000 and yields annual cash inflow of Kshs. 3,450,000 for 3 years. Calculate its payback period. What are the drawbacks of this capital budgeting techniques?</w:t>
      </w:r>
      <w:r w:rsidR="00EA327C">
        <w:rPr>
          <w:rFonts w:ascii="Times New Roman" w:hAnsi="Times New Roman"/>
          <w:sz w:val="24"/>
          <w:szCs w:val="24"/>
        </w:rPr>
        <w:tab/>
      </w:r>
    </w:p>
    <w:p w:rsidR="009411F8" w:rsidRDefault="00EA327C" w:rsidP="00EA327C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B0DB0" w:rsidRDefault="00EB0DB0" w:rsidP="00EB0DB0">
      <w:p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625B80">
        <w:rPr>
          <w:rFonts w:ascii="Times New Roman" w:hAnsi="Times New Roman"/>
          <w:b/>
          <w:sz w:val="24"/>
          <w:szCs w:val="24"/>
        </w:rPr>
        <w:t>QUESTION TWO (20 MARKS)</w:t>
      </w:r>
    </w:p>
    <w:p w:rsidR="008F6128" w:rsidRDefault="008F6128" w:rsidP="008F612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Must Firms Pay Dividends? Briefly explain why they should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F6128" w:rsidRDefault="008F6128" w:rsidP="008F612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firms Kupe Ltd and Nut Ltd have the same level of financing but different capital structures. The company’s earnings before interest and taxes (EBIT) is Ksh. 3,000,000</w:t>
      </w:r>
      <w:r w:rsidR="00ED2721">
        <w:rPr>
          <w:rFonts w:ascii="Times New Roman" w:hAnsi="Times New Roman"/>
          <w:sz w:val="24"/>
          <w:szCs w:val="24"/>
        </w:rPr>
        <w:t xml:space="preserve"> for both. The corporation tax rate is 30% for both companies.</w:t>
      </w:r>
    </w:p>
    <w:tbl>
      <w:tblPr>
        <w:tblStyle w:val="TableGrid"/>
        <w:tblW w:w="0" w:type="auto"/>
        <w:tblInd w:w="270" w:type="dxa"/>
        <w:tblLook w:val="04A0"/>
      </w:tblPr>
      <w:tblGrid>
        <w:gridCol w:w="3708"/>
        <w:gridCol w:w="1176"/>
        <w:gridCol w:w="1344"/>
      </w:tblGrid>
      <w:tr w:rsidR="0064200E" w:rsidTr="0064200E">
        <w:trPr>
          <w:trHeight w:hRule="exact" w:val="307"/>
        </w:trPr>
        <w:tc>
          <w:tcPr>
            <w:tcW w:w="3708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Kupe Ltd</w:t>
            </w:r>
          </w:p>
        </w:tc>
        <w:tc>
          <w:tcPr>
            <w:tcW w:w="1344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 Ltd</w:t>
            </w:r>
          </w:p>
        </w:tc>
      </w:tr>
      <w:tr w:rsidR="0064200E" w:rsidTr="0064200E">
        <w:trPr>
          <w:trHeight w:hRule="exact" w:val="325"/>
        </w:trPr>
        <w:tc>
          <w:tcPr>
            <w:tcW w:w="3708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  <w:tc>
          <w:tcPr>
            <w:tcW w:w="1344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</w:tr>
      <w:tr w:rsidR="0064200E" w:rsidTr="00944BD1">
        <w:trPr>
          <w:trHeight w:hRule="exact" w:val="397"/>
        </w:trPr>
        <w:tc>
          <w:tcPr>
            <w:tcW w:w="3708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Ordinary Share capital shs. 20 each</w:t>
            </w:r>
          </w:p>
        </w:tc>
        <w:tc>
          <w:tcPr>
            <w:tcW w:w="1176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4,500,000</w:t>
            </w:r>
          </w:p>
        </w:tc>
        <w:tc>
          <w:tcPr>
            <w:tcW w:w="1344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3,5000.000</w:t>
            </w:r>
          </w:p>
        </w:tc>
      </w:tr>
      <w:tr w:rsidR="0064200E" w:rsidTr="0064200E">
        <w:trPr>
          <w:trHeight w:hRule="exact" w:val="397"/>
        </w:trPr>
        <w:tc>
          <w:tcPr>
            <w:tcW w:w="3708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preferences share “ 1 each</w:t>
            </w:r>
          </w:p>
        </w:tc>
        <w:tc>
          <w:tcPr>
            <w:tcW w:w="1176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2,500,000</w:t>
            </w:r>
          </w:p>
        </w:tc>
        <w:tc>
          <w:tcPr>
            <w:tcW w:w="1344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00E" w:rsidTr="0064200E">
        <w:trPr>
          <w:trHeight w:hRule="exact" w:val="415"/>
        </w:trPr>
        <w:tc>
          <w:tcPr>
            <w:tcW w:w="3708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debentures “ 100 each</w:t>
            </w:r>
          </w:p>
        </w:tc>
        <w:tc>
          <w:tcPr>
            <w:tcW w:w="1176" w:type="dxa"/>
          </w:tcPr>
          <w:p w:rsidR="00581C10" w:rsidRDefault="00581C10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3,500,000</w:t>
            </w:r>
          </w:p>
        </w:tc>
      </w:tr>
      <w:tr w:rsidR="0064200E" w:rsidTr="0064200E">
        <w:trPr>
          <w:trHeight w:hRule="exact" w:val="397"/>
        </w:trPr>
        <w:tc>
          <w:tcPr>
            <w:tcW w:w="3708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Capital</w:t>
            </w:r>
          </w:p>
        </w:tc>
        <w:tc>
          <w:tcPr>
            <w:tcW w:w="1176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7,000,000</w:t>
            </w:r>
          </w:p>
        </w:tc>
        <w:tc>
          <w:tcPr>
            <w:tcW w:w="1344" w:type="dxa"/>
          </w:tcPr>
          <w:p w:rsidR="00581C10" w:rsidRDefault="00115A11" w:rsidP="00581C1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7,000,000</w:t>
            </w:r>
          </w:p>
        </w:tc>
      </w:tr>
    </w:tbl>
    <w:p w:rsidR="00581C10" w:rsidRDefault="00581C10" w:rsidP="00581C1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A01A24" w:rsidRDefault="00D25086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</w:t>
      </w:r>
      <w:r w:rsidR="00A01A24">
        <w:rPr>
          <w:rFonts w:ascii="Times New Roman" w:hAnsi="Times New Roman"/>
          <w:sz w:val="24"/>
          <w:szCs w:val="24"/>
        </w:rPr>
        <w:t xml:space="preserve"> earnings per share (EPS) for each company and explain the difference in EPS between the two companies.</w:t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ab/>
      </w:r>
      <w:r w:rsidR="00355A4F">
        <w:rPr>
          <w:rFonts w:ascii="Times New Roman" w:hAnsi="Times New Roman"/>
          <w:sz w:val="24"/>
          <w:szCs w:val="24"/>
        </w:rPr>
        <w:tab/>
      </w:r>
      <w:r w:rsidR="00A01A24">
        <w:rPr>
          <w:rFonts w:ascii="Times New Roman" w:hAnsi="Times New Roman"/>
          <w:sz w:val="24"/>
          <w:szCs w:val="24"/>
        </w:rPr>
        <w:t>(12 Marks)</w:t>
      </w:r>
    </w:p>
    <w:p w:rsidR="000B4B30" w:rsidRDefault="000B4B30" w:rsidP="00D25086">
      <w:pPr>
        <w:pStyle w:val="ListParagraph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337AD5">
        <w:rPr>
          <w:rFonts w:ascii="Times New Roman" w:hAnsi="Times New Roman"/>
          <w:b/>
          <w:sz w:val="24"/>
          <w:szCs w:val="24"/>
        </w:rPr>
        <w:t>QUESTION THREE (20 MARKS)</w:t>
      </w:r>
    </w:p>
    <w:p w:rsidR="00337AD5" w:rsidRDefault="00337AD5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Whatabout Ltd. is contemplating to expand its business and accordingly it desires to increase its assets by 50% by the end of the year 2017.</w:t>
      </w:r>
    </w:p>
    <w:p w:rsidR="008100FD" w:rsidRDefault="008100FD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existing capital structure of the company is given as:</w:t>
      </w:r>
    </w:p>
    <w:p w:rsidR="003211C7" w:rsidRDefault="003211C7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6% debentures Kshs. 4,000,000</w:t>
      </w:r>
    </w:p>
    <w:p w:rsidR="003211C7" w:rsidRDefault="003211C7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8% preference share capital Kshs. 1,000,000</w:t>
      </w:r>
    </w:p>
    <w:p w:rsidR="003211C7" w:rsidRDefault="003211C7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Equity shares Kshs. 5,000,000</w:t>
      </w:r>
    </w:p>
    <w:p w:rsidR="003211C7" w:rsidRDefault="003211C7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New debentures can be sold at par at 10% interest rate. Preference shares will have a 12% dividend rate and can be sold at par. Equity shares can be sold to net Kshs. 188 per share. The shareholder required rate of return is 7% which is expected to grow at the rate of 3%. Returned earnings for the year are estimated to be Kshs. 600,000. Assume corporate tax rate is at 30%.</w:t>
      </w:r>
    </w:p>
    <w:p w:rsidR="000A3C0F" w:rsidRPr="00CA01C3" w:rsidRDefault="000A3C0F" w:rsidP="00D25086">
      <w:pPr>
        <w:pStyle w:val="ListParagraph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A01C3">
        <w:rPr>
          <w:rFonts w:ascii="Times New Roman" w:hAnsi="Times New Roman"/>
          <w:b/>
          <w:sz w:val="24"/>
          <w:szCs w:val="24"/>
        </w:rPr>
        <w:t>Required:</w:t>
      </w:r>
    </w:p>
    <w:p w:rsidR="00292572" w:rsidRDefault="00292572" w:rsidP="0029257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amount of new capital expenditure?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2105" w:rsidRDefault="00A62105" w:rsidP="0029257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optimal structure of new financing?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2105" w:rsidRDefault="00A62105" w:rsidP="0029257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cost of individual capital components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62105" w:rsidRDefault="00A62105" w:rsidP="0029257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weighted average cost of capital of the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57426" w:rsidRPr="00CD76B8" w:rsidRDefault="00957426" w:rsidP="00957426">
      <w:pPr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D76B8">
        <w:rPr>
          <w:rFonts w:ascii="Times New Roman" w:hAnsi="Times New Roman"/>
          <w:b/>
          <w:sz w:val="24"/>
          <w:szCs w:val="24"/>
        </w:rPr>
        <w:t>QUESTION FOUR (20 MARKS)</w:t>
      </w:r>
    </w:p>
    <w:p w:rsidR="00F06B6A" w:rsidRDefault="00F06B6A" w:rsidP="00D25086">
      <w:pPr>
        <w:pStyle w:val="ListParagraph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the following terms as applied in financial management;</w:t>
      </w:r>
    </w:p>
    <w:p w:rsidR="00E92798" w:rsidRDefault="00292572" w:rsidP="00E92798">
      <w:pPr>
        <w:pStyle w:val="ListParagraph"/>
        <w:numPr>
          <w:ilvl w:val="0"/>
          <w:numId w:val="15"/>
        </w:numPr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Operating </w:t>
      </w:r>
      <w:r w:rsidR="00107EE6">
        <w:rPr>
          <w:rFonts w:ascii="Times New Roman" w:hAnsi="Times New Roman"/>
          <w:sz w:val="24"/>
          <w:szCs w:val="24"/>
        </w:rPr>
        <w:t xml:space="preserve">leverage and financial leverage </w:t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</w:r>
      <w:r w:rsidR="00107EE6">
        <w:rPr>
          <w:rFonts w:ascii="Times New Roman" w:hAnsi="Times New Roman"/>
          <w:sz w:val="24"/>
          <w:szCs w:val="24"/>
        </w:rPr>
        <w:tab/>
        <w:t>(3 Marks)</w:t>
      </w:r>
    </w:p>
    <w:p w:rsidR="00107EE6" w:rsidRDefault="00107EE6" w:rsidP="00E92798">
      <w:pPr>
        <w:pStyle w:val="ListParagraph"/>
        <w:numPr>
          <w:ilvl w:val="0"/>
          <w:numId w:val="15"/>
        </w:numPr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structure and financial structure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07EE6" w:rsidRDefault="00107EE6" w:rsidP="00A108BB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risk and financial risk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08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11210" w:rsidRDefault="00111210" w:rsidP="00E92798">
      <w:pPr>
        <w:pStyle w:val="ListParagraph"/>
        <w:numPr>
          <w:ilvl w:val="0"/>
          <w:numId w:val="15"/>
        </w:numPr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Internal rate of return (IRR) and Accounting rate of ret urn (ARR)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278F0" w:rsidRDefault="007278F0" w:rsidP="00E92798">
      <w:pPr>
        <w:pStyle w:val="ListParagraph"/>
        <w:numPr>
          <w:ilvl w:val="0"/>
          <w:numId w:val="15"/>
        </w:numPr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Arbitrage Prizing theory from Capital Asset Pricing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45AB8" w:rsidRPr="001D630C" w:rsidRDefault="00F45AB8" w:rsidP="00F45AB8">
      <w:pPr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1D630C">
        <w:rPr>
          <w:rFonts w:ascii="Times New Roman" w:hAnsi="Times New Roman"/>
          <w:b/>
          <w:sz w:val="24"/>
          <w:szCs w:val="24"/>
        </w:rPr>
        <w:t>QUESTION FIVE (20 MARKS)</w:t>
      </w:r>
    </w:p>
    <w:p w:rsidR="00841F98" w:rsidRDefault="00284987" w:rsidP="00587652">
      <w:pPr>
        <w:pStyle w:val="ListParagraph"/>
        <w:numPr>
          <w:ilvl w:val="0"/>
          <w:numId w:val="17"/>
        </w:numPr>
        <w:spacing w:line="360" w:lineRule="auto"/>
        <w:ind w:left="270" w:hanging="450"/>
        <w:rPr>
          <w:rFonts w:ascii="Times New Roman" w:hAnsi="Times New Roman"/>
          <w:sz w:val="24"/>
          <w:szCs w:val="24"/>
        </w:rPr>
      </w:pPr>
      <w:r w:rsidRPr="00841F98">
        <w:rPr>
          <w:rFonts w:ascii="Times New Roman" w:hAnsi="Times New Roman"/>
          <w:b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main Costs and Benefits of debt finance in determining the capital structure of a </w:t>
      </w:r>
    </w:p>
    <w:p w:rsidR="00587652" w:rsidRDefault="00284987" w:rsidP="00841F9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 </w:t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284987" w:rsidRDefault="00284987" w:rsidP="00587652">
      <w:pPr>
        <w:pStyle w:val="ListParagraph"/>
        <w:numPr>
          <w:ilvl w:val="0"/>
          <w:numId w:val="17"/>
        </w:numPr>
        <w:spacing w:line="360" w:lineRule="auto"/>
        <w:ind w:left="2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argument that “According to The Miller Modigliani Hypothesis Dividends don’t matter</w:t>
      </w:r>
      <w:r w:rsidR="00157AAB">
        <w:rPr>
          <w:rFonts w:ascii="Times New Roman" w:hAnsi="Times New Roman"/>
          <w:sz w:val="24"/>
          <w:szCs w:val="24"/>
        </w:rPr>
        <w:t>”</w:t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841F98">
        <w:rPr>
          <w:rFonts w:ascii="Times New Roman" w:hAnsi="Times New Roman"/>
          <w:sz w:val="24"/>
          <w:szCs w:val="24"/>
        </w:rPr>
        <w:tab/>
      </w:r>
      <w:r w:rsidR="00BD3569">
        <w:rPr>
          <w:rFonts w:ascii="Times New Roman" w:hAnsi="Times New Roman"/>
          <w:sz w:val="24"/>
          <w:szCs w:val="24"/>
        </w:rPr>
        <w:t>(6 Marks)</w:t>
      </w:r>
    </w:p>
    <w:p w:rsidR="00BD3569" w:rsidRPr="00587652" w:rsidRDefault="00BD3569" w:rsidP="00587652">
      <w:pPr>
        <w:pStyle w:val="ListParagraph"/>
        <w:numPr>
          <w:ilvl w:val="0"/>
          <w:numId w:val="17"/>
        </w:numPr>
        <w:spacing w:line="360" w:lineRule="auto"/>
        <w:ind w:left="2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assumptions must </w:t>
      </w:r>
      <w:r w:rsidR="000E435D">
        <w:rPr>
          <w:rFonts w:ascii="Times New Roman" w:hAnsi="Times New Roman"/>
          <w:sz w:val="24"/>
          <w:szCs w:val="24"/>
        </w:rPr>
        <w:t>exist for</w:t>
      </w:r>
      <w:r>
        <w:rPr>
          <w:rFonts w:ascii="Times New Roman" w:hAnsi="Times New Roman"/>
          <w:sz w:val="24"/>
          <w:szCs w:val="24"/>
        </w:rPr>
        <w:t xml:space="preserve"> the Miller Modigliani Hypothesis argument to hold?</w:t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337AD5" w:rsidRPr="00337AD5" w:rsidRDefault="00337AD5">
      <w:pPr>
        <w:pStyle w:val="ListParagraph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</w:p>
    <w:sectPr w:rsidR="00337AD5" w:rsidRPr="00337AD5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CC3" w:rsidRDefault="00AE4CC3" w:rsidP="00164445">
      <w:pPr>
        <w:spacing w:after="0" w:line="240" w:lineRule="auto"/>
      </w:pPr>
      <w:r>
        <w:separator/>
      </w:r>
    </w:p>
  </w:endnote>
  <w:endnote w:type="continuationSeparator" w:id="0">
    <w:p w:rsidR="00AE4CC3" w:rsidRDefault="00AE4CC3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E4CC3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6781A">
      <w:fldChar w:fldCharType="begin"/>
    </w:r>
    <w:r>
      <w:instrText xml:space="preserve"> PAGE   \* MERGEFORMAT </w:instrText>
    </w:r>
    <w:r w:rsidR="00A6781A">
      <w:fldChar w:fldCharType="separate"/>
    </w:r>
    <w:r w:rsidR="00EA327C" w:rsidRPr="00EA327C">
      <w:rPr>
        <w:rFonts w:asciiTheme="majorHAnsi" w:hAnsiTheme="majorHAnsi"/>
        <w:noProof/>
      </w:rPr>
      <w:t>2</w:t>
    </w:r>
    <w:r w:rsidR="00A6781A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CC3" w:rsidRDefault="00AE4CC3" w:rsidP="00164445">
      <w:pPr>
        <w:spacing w:after="0" w:line="240" w:lineRule="auto"/>
      </w:pPr>
      <w:r>
        <w:separator/>
      </w:r>
    </w:p>
  </w:footnote>
  <w:footnote w:type="continuationSeparator" w:id="0">
    <w:p w:rsidR="00AE4CC3" w:rsidRDefault="00AE4CC3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6B4"/>
    <w:multiLevelType w:val="hybridMultilevel"/>
    <w:tmpl w:val="B7F0EB34"/>
    <w:lvl w:ilvl="0" w:tplc="E56C1EFA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C955D6D"/>
    <w:multiLevelType w:val="hybridMultilevel"/>
    <w:tmpl w:val="C5D29176"/>
    <w:lvl w:ilvl="0" w:tplc="E074850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4C7978"/>
    <w:multiLevelType w:val="hybridMultilevel"/>
    <w:tmpl w:val="938AA18C"/>
    <w:lvl w:ilvl="0" w:tplc="E508F08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A7175DE"/>
    <w:multiLevelType w:val="hybridMultilevel"/>
    <w:tmpl w:val="A41A1EC6"/>
    <w:lvl w:ilvl="0" w:tplc="7DB2AA44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D084BB0"/>
    <w:multiLevelType w:val="hybridMultilevel"/>
    <w:tmpl w:val="DB1EC22A"/>
    <w:lvl w:ilvl="0" w:tplc="6B224E94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01260BF"/>
    <w:multiLevelType w:val="hybridMultilevel"/>
    <w:tmpl w:val="10947038"/>
    <w:lvl w:ilvl="0" w:tplc="5C5A76A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4D5010E"/>
    <w:multiLevelType w:val="hybridMultilevel"/>
    <w:tmpl w:val="FC98E71C"/>
    <w:lvl w:ilvl="0" w:tplc="2752C98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B307331"/>
    <w:multiLevelType w:val="hybridMultilevel"/>
    <w:tmpl w:val="8BD293B2"/>
    <w:lvl w:ilvl="0" w:tplc="89CE072C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44B75903"/>
    <w:multiLevelType w:val="hybridMultilevel"/>
    <w:tmpl w:val="0F28CA70"/>
    <w:lvl w:ilvl="0" w:tplc="82E6564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BFF29C5"/>
    <w:multiLevelType w:val="hybridMultilevel"/>
    <w:tmpl w:val="6512E51C"/>
    <w:lvl w:ilvl="0" w:tplc="028616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E6533D1"/>
    <w:multiLevelType w:val="hybridMultilevel"/>
    <w:tmpl w:val="67ACB0F2"/>
    <w:lvl w:ilvl="0" w:tplc="C600A0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2695DC7"/>
    <w:multiLevelType w:val="hybridMultilevel"/>
    <w:tmpl w:val="2C2E567E"/>
    <w:lvl w:ilvl="0" w:tplc="C492C820">
      <w:start w:val="1"/>
      <w:numFmt w:val="lowerRoman"/>
      <w:lvlText w:val="%1)"/>
      <w:lvlJc w:val="left"/>
      <w:pPr>
        <w:ind w:left="81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D721B55"/>
    <w:multiLevelType w:val="hybridMultilevel"/>
    <w:tmpl w:val="3094E556"/>
    <w:lvl w:ilvl="0" w:tplc="4CD6036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60381108"/>
    <w:multiLevelType w:val="hybridMultilevel"/>
    <w:tmpl w:val="43B4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72F"/>
    <w:multiLevelType w:val="hybridMultilevel"/>
    <w:tmpl w:val="E1FC06F4"/>
    <w:lvl w:ilvl="0" w:tplc="DC0EC68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668F3895"/>
    <w:multiLevelType w:val="hybridMultilevel"/>
    <w:tmpl w:val="834EE11E"/>
    <w:lvl w:ilvl="0" w:tplc="75EC5F6E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1215E77"/>
    <w:multiLevelType w:val="hybridMultilevel"/>
    <w:tmpl w:val="086A2CC8"/>
    <w:lvl w:ilvl="0" w:tplc="7B62F1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0"/>
  </w:num>
  <w:num w:numId="15">
    <w:abstractNumId w:val="3"/>
  </w:num>
  <w:num w:numId="16">
    <w:abstractNumId w:val="7"/>
  </w:num>
  <w:num w:numId="17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5B82"/>
    <w:rsid w:val="000317C0"/>
    <w:rsid w:val="00032F27"/>
    <w:rsid w:val="00033986"/>
    <w:rsid w:val="00033A77"/>
    <w:rsid w:val="000358D4"/>
    <w:rsid w:val="00036EFE"/>
    <w:rsid w:val="00041232"/>
    <w:rsid w:val="00041DBD"/>
    <w:rsid w:val="00047347"/>
    <w:rsid w:val="00053B49"/>
    <w:rsid w:val="000569CC"/>
    <w:rsid w:val="00057321"/>
    <w:rsid w:val="00062EC4"/>
    <w:rsid w:val="00073FE0"/>
    <w:rsid w:val="000839C3"/>
    <w:rsid w:val="00090D35"/>
    <w:rsid w:val="000A3C0F"/>
    <w:rsid w:val="000A78FB"/>
    <w:rsid w:val="000B4445"/>
    <w:rsid w:val="000B4B30"/>
    <w:rsid w:val="000C4CCF"/>
    <w:rsid w:val="000D378A"/>
    <w:rsid w:val="000E1E15"/>
    <w:rsid w:val="000E1FD8"/>
    <w:rsid w:val="000E435D"/>
    <w:rsid w:val="000E5C20"/>
    <w:rsid w:val="000F1ABE"/>
    <w:rsid w:val="000F28DF"/>
    <w:rsid w:val="000F5110"/>
    <w:rsid w:val="00100F0F"/>
    <w:rsid w:val="001016FF"/>
    <w:rsid w:val="001072F1"/>
    <w:rsid w:val="00107EE6"/>
    <w:rsid w:val="0011040C"/>
    <w:rsid w:val="00111210"/>
    <w:rsid w:val="00115297"/>
    <w:rsid w:val="00115A11"/>
    <w:rsid w:val="001200BB"/>
    <w:rsid w:val="0012480D"/>
    <w:rsid w:val="00124F98"/>
    <w:rsid w:val="00126513"/>
    <w:rsid w:val="00126E27"/>
    <w:rsid w:val="001333EB"/>
    <w:rsid w:val="001352C6"/>
    <w:rsid w:val="00137011"/>
    <w:rsid w:val="00153B18"/>
    <w:rsid w:val="00153F83"/>
    <w:rsid w:val="00157AAB"/>
    <w:rsid w:val="00164445"/>
    <w:rsid w:val="00165917"/>
    <w:rsid w:val="00165BD3"/>
    <w:rsid w:val="0016690A"/>
    <w:rsid w:val="00177F0E"/>
    <w:rsid w:val="00181491"/>
    <w:rsid w:val="0018258E"/>
    <w:rsid w:val="001857A3"/>
    <w:rsid w:val="00194213"/>
    <w:rsid w:val="0019458B"/>
    <w:rsid w:val="00194A90"/>
    <w:rsid w:val="00194F2D"/>
    <w:rsid w:val="001A3FA0"/>
    <w:rsid w:val="001B7964"/>
    <w:rsid w:val="001C0974"/>
    <w:rsid w:val="001D3505"/>
    <w:rsid w:val="001D630C"/>
    <w:rsid w:val="001E178D"/>
    <w:rsid w:val="001E4D56"/>
    <w:rsid w:val="001F7411"/>
    <w:rsid w:val="002041A1"/>
    <w:rsid w:val="002049D8"/>
    <w:rsid w:val="00206683"/>
    <w:rsid w:val="00210A1F"/>
    <w:rsid w:val="00237C85"/>
    <w:rsid w:val="00244E8A"/>
    <w:rsid w:val="00246686"/>
    <w:rsid w:val="00256D6E"/>
    <w:rsid w:val="00262F75"/>
    <w:rsid w:val="00265582"/>
    <w:rsid w:val="002742C7"/>
    <w:rsid w:val="00282C08"/>
    <w:rsid w:val="00284987"/>
    <w:rsid w:val="002854EA"/>
    <w:rsid w:val="002920C7"/>
    <w:rsid w:val="00292572"/>
    <w:rsid w:val="0029784B"/>
    <w:rsid w:val="002A4726"/>
    <w:rsid w:val="002D33F5"/>
    <w:rsid w:val="002E1538"/>
    <w:rsid w:val="002E33EE"/>
    <w:rsid w:val="002E4716"/>
    <w:rsid w:val="002F3CDE"/>
    <w:rsid w:val="00313CBF"/>
    <w:rsid w:val="00320A9D"/>
    <w:rsid w:val="003211C7"/>
    <w:rsid w:val="0033295F"/>
    <w:rsid w:val="00333271"/>
    <w:rsid w:val="003361BF"/>
    <w:rsid w:val="00336738"/>
    <w:rsid w:val="00337AD5"/>
    <w:rsid w:val="0034508C"/>
    <w:rsid w:val="003524B4"/>
    <w:rsid w:val="00355A4F"/>
    <w:rsid w:val="00356048"/>
    <w:rsid w:val="0036574F"/>
    <w:rsid w:val="00374BBE"/>
    <w:rsid w:val="00391C3C"/>
    <w:rsid w:val="00395541"/>
    <w:rsid w:val="003A0A2A"/>
    <w:rsid w:val="003A3C6C"/>
    <w:rsid w:val="003B1836"/>
    <w:rsid w:val="003B45B1"/>
    <w:rsid w:val="003B66FF"/>
    <w:rsid w:val="003C0488"/>
    <w:rsid w:val="003C1908"/>
    <w:rsid w:val="003C57A0"/>
    <w:rsid w:val="003C7302"/>
    <w:rsid w:val="003C7F12"/>
    <w:rsid w:val="003E7088"/>
    <w:rsid w:val="003F3D68"/>
    <w:rsid w:val="003F7B44"/>
    <w:rsid w:val="00410362"/>
    <w:rsid w:val="00412352"/>
    <w:rsid w:val="0041296B"/>
    <w:rsid w:val="00436494"/>
    <w:rsid w:val="00442C4A"/>
    <w:rsid w:val="00443D9F"/>
    <w:rsid w:val="004447AA"/>
    <w:rsid w:val="00447CEA"/>
    <w:rsid w:val="0045323C"/>
    <w:rsid w:val="00461546"/>
    <w:rsid w:val="0046354F"/>
    <w:rsid w:val="0047490C"/>
    <w:rsid w:val="00480BA3"/>
    <w:rsid w:val="004846D4"/>
    <w:rsid w:val="0049104A"/>
    <w:rsid w:val="0049323E"/>
    <w:rsid w:val="00495E04"/>
    <w:rsid w:val="004A1B94"/>
    <w:rsid w:val="004A378B"/>
    <w:rsid w:val="004A47A8"/>
    <w:rsid w:val="004C52B8"/>
    <w:rsid w:val="004C5533"/>
    <w:rsid w:val="004D4818"/>
    <w:rsid w:val="004E0AE0"/>
    <w:rsid w:val="005037D6"/>
    <w:rsid w:val="00503B12"/>
    <w:rsid w:val="00505A87"/>
    <w:rsid w:val="0052442B"/>
    <w:rsid w:val="005344B7"/>
    <w:rsid w:val="00537AEE"/>
    <w:rsid w:val="00546C62"/>
    <w:rsid w:val="00556FE1"/>
    <w:rsid w:val="00557474"/>
    <w:rsid w:val="0056079A"/>
    <w:rsid w:val="00574F6E"/>
    <w:rsid w:val="00581C10"/>
    <w:rsid w:val="00587652"/>
    <w:rsid w:val="00592F66"/>
    <w:rsid w:val="0059540E"/>
    <w:rsid w:val="005A60F2"/>
    <w:rsid w:val="005A7401"/>
    <w:rsid w:val="005A7DA8"/>
    <w:rsid w:val="005B1ED3"/>
    <w:rsid w:val="005B29AC"/>
    <w:rsid w:val="005B47E2"/>
    <w:rsid w:val="005B6083"/>
    <w:rsid w:val="005B77B6"/>
    <w:rsid w:val="005C1CDC"/>
    <w:rsid w:val="005C4A8D"/>
    <w:rsid w:val="005C4D92"/>
    <w:rsid w:val="005C5432"/>
    <w:rsid w:val="005C658E"/>
    <w:rsid w:val="005C745E"/>
    <w:rsid w:val="005E623C"/>
    <w:rsid w:val="005F7DEE"/>
    <w:rsid w:val="006134C9"/>
    <w:rsid w:val="006158A8"/>
    <w:rsid w:val="00615A4C"/>
    <w:rsid w:val="006171A7"/>
    <w:rsid w:val="006203E8"/>
    <w:rsid w:val="00625B80"/>
    <w:rsid w:val="00633AB2"/>
    <w:rsid w:val="006351FB"/>
    <w:rsid w:val="0064200E"/>
    <w:rsid w:val="00643235"/>
    <w:rsid w:val="006527EA"/>
    <w:rsid w:val="006551EF"/>
    <w:rsid w:val="00660016"/>
    <w:rsid w:val="00665D46"/>
    <w:rsid w:val="00670E49"/>
    <w:rsid w:val="00672F50"/>
    <w:rsid w:val="006807B3"/>
    <w:rsid w:val="00681738"/>
    <w:rsid w:val="006A19DF"/>
    <w:rsid w:val="006C0370"/>
    <w:rsid w:val="006C26C0"/>
    <w:rsid w:val="006D14E7"/>
    <w:rsid w:val="006D22DF"/>
    <w:rsid w:val="006E3427"/>
    <w:rsid w:val="006E458A"/>
    <w:rsid w:val="006F4A17"/>
    <w:rsid w:val="00711AD6"/>
    <w:rsid w:val="00716F93"/>
    <w:rsid w:val="007278F0"/>
    <w:rsid w:val="00736D94"/>
    <w:rsid w:val="00741708"/>
    <w:rsid w:val="00741E24"/>
    <w:rsid w:val="007433C8"/>
    <w:rsid w:val="00743930"/>
    <w:rsid w:val="00745A4A"/>
    <w:rsid w:val="00745F9D"/>
    <w:rsid w:val="00751C8C"/>
    <w:rsid w:val="007541E6"/>
    <w:rsid w:val="00756D1E"/>
    <w:rsid w:val="00757015"/>
    <w:rsid w:val="007572E2"/>
    <w:rsid w:val="00791390"/>
    <w:rsid w:val="00793F00"/>
    <w:rsid w:val="0079444C"/>
    <w:rsid w:val="007A0E74"/>
    <w:rsid w:val="007A1C06"/>
    <w:rsid w:val="007A1CD7"/>
    <w:rsid w:val="007B05A8"/>
    <w:rsid w:val="007B7C6B"/>
    <w:rsid w:val="007C2F8F"/>
    <w:rsid w:val="007C30A1"/>
    <w:rsid w:val="007E4317"/>
    <w:rsid w:val="007E70AA"/>
    <w:rsid w:val="008024F7"/>
    <w:rsid w:val="0080284F"/>
    <w:rsid w:val="008100FD"/>
    <w:rsid w:val="008160D8"/>
    <w:rsid w:val="00823DD6"/>
    <w:rsid w:val="00824A58"/>
    <w:rsid w:val="008260FD"/>
    <w:rsid w:val="00831E91"/>
    <w:rsid w:val="00840063"/>
    <w:rsid w:val="00841F98"/>
    <w:rsid w:val="00846C0F"/>
    <w:rsid w:val="008474BE"/>
    <w:rsid w:val="00850C85"/>
    <w:rsid w:val="008521B0"/>
    <w:rsid w:val="00855A5E"/>
    <w:rsid w:val="00867148"/>
    <w:rsid w:val="008735D2"/>
    <w:rsid w:val="008763E3"/>
    <w:rsid w:val="00877D2E"/>
    <w:rsid w:val="00887A0D"/>
    <w:rsid w:val="00894DE1"/>
    <w:rsid w:val="008A5F37"/>
    <w:rsid w:val="008B1A4E"/>
    <w:rsid w:val="008B2218"/>
    <w:rsid w:val="008B2492"/>
    <w:rsid w:val="008B5A35"/>
    <w:rsid w:val="008B5F44"/>
    <w:rsid w:val="008C7463"/>
    <w:rsid w:val="008D7944"/>
    <w:rsid w:val="008E3B3E"/>
    <w:rsid w:val="008E7479"/>
    <w:rsid w:val="008F3D6A"/>
    <w:rsid w:val="008F52CF"/>
    <w:rsid w:val="008F6128"/>
    <w:rsid w:val="0090664E"/>
    <w:rsid w:val="00911828"/>
    <w:rsid w:val="00911D07"/>
    <w:rsid w:val="00920B4E"/>
    <w:rsid w:val="00931A38"/>
    <w:rsid w:val="00937222"/>
    <w:rsid w:val="00940365"/>
    <w:rsid w:val="009411F8"/>
    <w:rsid w:val="009429AF"/>
    <w:rsid w:val="00944BD1"/>
    <w:rsid w:val="00945BFE"/>
    <w:rsid w:val="00953BFE"/>
    <w:rsid w:val="00956A56"/>
    <w:rsid w:val="00957300"/>
    <w:rsid w:val="0095734C"/>
    <w:rsid w:val="00957426"/>
    <w:rsid w:val="0096613B"/>
    <w:rsid w:val="009713D0"/>
    <w:rsid w:val="00976DE6"/>
    <w:rsid w:val="0098633D"/>
    <w:rsid w:val="00990FBA"/>
    <w:rsid w:val="009953DF"/>
    <w:rsid w:val="00995FF1"/>
    <w:rsid w:val="009A62B3"/>
    <w:rsid w:val="009B1E2F"/>
    <w:rsid w:val="009B5C97"/>
    <w:rsid w:val="009B699A"/>
    <w:rsid w:val="009C2F27"/>
    <w:rsid w:val="009D1D3C"/>
    <w:rsid w:val="009D2641"/>
    <w:rsid w:val="009E086D"/>
    <w:rsid w:val="009E2B00"/>
    <w:rsid w:val="009E32BB"/>
    <w:rsid w:val="009E5802"/>
    <w:rsid w:val="00A01A24"/>
    <w:rsid w:val="00A04FCA"/>
    <w:rsid w:val="00A108BB"/>
    <w:rsid w:val="00A22D3F"/>
    <w:rsid w:val="00A25F02"/>
    <w:rsid w:val="00A445A9"/>
    <w:rsid w:val="00A56833"/>
    <w:rsid w:val="00A62105"/>
    <w:rsid w:val="00A64FC7"/>
    <w:rsid w:val="00A671BF"/>
    <w:rsid w:val="00A6781A"/>
    <w:rsid w:val="00A9129D"/>
    <w:rsid w:val="00A9732B"/>
    <w:rsid w:val="00AA4F68"/>
    <w:rsid w:val="00AB44FA"/>
    <w:rsid w:val="00AB56B2"/>
    <w:rsid w:val="00AC0C36"/>
    <w:rsid w:val="00AC5407"/>
    <w:rsid w:val="00AC73AC"/>
    <w:rsid w:val="00AC73E3"/>
    <w:rsid w:val="00AD7424"/>
    <w:rsid w:val="00AD7BCA"/>
    <w:rsid w:val="00AE3094"/>
    <w:rsid w:val="00AE4CC3"/>
    <w:rsid w:val="00AF2FDA"/>
    <w:rsid w:val="00AF321A"/>
    <w:rsid w:val="00B0071E"/>
    <w:rsid w:val="00B012B2"/>
    <w:rsid w:val="00B0372C"/>
    <w:rsid w:val="00B21D68"/>
    <w:rsid w:val="00B24241"/>
    <w:rsid w:val="00B30D66"/>
    <w:rsid w:val="00B37E52"/>
    <w:rsid w:val="00B407D5"/>
    <w:rsid w:val="00B42640"/>
    <w:rsid w:val="00B452F4"/>
    <w:rsid w:val="00B454D6"/>
    <w:rsid w:val="00B50846"/>
    <w:rsid w:val="00B6210C"/>
    <w:rsid w:val="00B62358"/>
    <w:rsid w:val="00B7137D"/>
    <w:rsid w:val="00B740B8"/>
    <w:rsid w:val="00B74D27"/>
    <w:rsid w:val="00B80711"/>
    <w:rsid w:val="00B929FC"/>
    <w:rsid w:val="00B947C9"/>
    <w:rsid w:val="00B947CD"/>
    <w:rsid w:val="00B94A81"/>
    <w:rsid w:val="00B95A92"/>
    <w:rsid w:val="00B976BD"/>
    <w:rsid w:val="00BA5E95"/>
    <w:rsid w:val="00BA7C09"/>
    <w:rsid w:val="00BB0312"/>
    <w:rsid w:val="00BB4FC0"/>
    <w:rsid w:val="00BC0477"/>
    <w:rsid w:val="00BD3569"/>
    <w:rsid w:val="00BD4351"/>
    <w:rsid w:val="00BE105D"/>
    <w:rsid w:val="00BE24A2"/>
    <w:rsid w:val="00BE4787"/>
    <w:rsid w:val="00BE572E"/>
    <w:rsid w:val="00BF18D8"/>
    <w:rsid w:val="00BF2396"/>
    <w:rsid w:val="00BF426F"/>
    <w:rsid w:val="00C026D0"/>
    <w:rsid w:val="00C0699A"/>
    <w:rsid w:val="00C0715D"/>
    <w:rsid w:val="00C1690E"/>
    <w:rsid w:val="00C21B3F"/>
    <w:rsid w:val="00C23816"/>
    <w:rsid w:val="00C253CC"/>
    <w:rsid w:val="00C31D57"/>
    <w:rsid w:val="00C32A95"/>
    <w:rsid w:val="00C36510"/>
    <w:rsid w:val="00C37F43"/>
    <w:rsid w:val="00C44AB2"/>
    <w:rsid w:val="00C5059B"/>
    <w:rsid w:val="00C557B4"/>
    <w:rsid w:val="00C629DC"/>
    <w:rsid w:val="00C62A28"/>
    <w:rsid w:val="00C72F76"/>
    <w:rsid w:val="00C730FA"/>
    <w:rsid w:val="00C75554"/>
    <w:rsid w:val="00C8465C"/>
    <w:rsid w:val="00C85223"/>
    <w:rsid w:val="00C87833"/>
    <w:rsid w:val="00C90A64"/>
    <w:rsid w:val="00C914B9"/>
    <w:rsid w:val="00CA01C3"/>
    <w:rsid w:val="00CA302B"/>
    <w:rsid w:val="00CA6BDF"/>
    <w:rsid w:val="00CC0205"/>
    <w:rsid w:val="00CC0AAD"/>
    <w:rsid w:val="00CC0C06"/>
    <w:rsid w:val="00CC1209"/>
    <w:rsid w:val="00CC5CE1"/>
    <w:rsid w:val="00CC6967"/>
    <w:rsid w:val="00CD76B8"/>
    <w:rsid w:val="00CE3297"/>
    <w:rsid w:val="00D005D0"/>
    <w:rsid w:val="00D00A7C"/>
    <w:rsid w:val="00D03760"/>
    <w:rsid w:val="00D041D1"/>
    <w:rsid w:val="00D043C6"/>
    <w:rsid w:val="00D05E4E"/>
    <w:rsid w:val="00D20340"/>
    <w:rsid w:val="00D20CCF"/>
    <w:rsid w:val="00D25086"/>
    <w:rsid w:val="00D323A0"/>
    <w:rsid w:val="00D32FED"/>
    <w:rsid w:val="00D33B0C"/>
    <w:rsid w:val="00D340D4"/>
    <w:rsid w:val="00D47424"/>
    <w:rsid w:val="00D50AD5"/>
    <w:rsid w:val="00D5217F"/>
    <w:rsid w:val="00D55E75"/>
    <w:rsid w:val="00D74AF5"/>
    <w:rsid w:val="00D777B2"/>
    <w:rsid w:val="00D9475B"/>
    <w:rsid w:val="00D9492A"/>
    <w:rsid w:val="00DA463C"/>
    <w:rsid w:val="00DA5118"/>
    <w:rsid w:val="00DB1EA7"/>
    <w:rsid w:val="00DB2AA8"/>
    <w:rsid w:val="00DB3E7B"/>
    <w:rsid w:val="00DB4F0F"/>
    <w:rsid w:val="00DD1C44"/>
    <w:rsid w:val="00DD7B98"/>
    <w:rsid w:val="00DE6AD1"/>
    <w:rsid w:val="00DE7780"/>
    <w:rsid w:val="00E01F69"/>
    <w:rsid w:val="00E03CD4"/>
    <w:rsid w:val="00E063AD"/>
    <w:rsid w:val="00E14ACA"/>
    <w:rsid w:val="00E22B4E"/>
    <w:rsid w:val="00E241DE"/>
    <w:rsid w:val="00E36C59"/>
    <w:rsid w:val="00E41C69"/>
    <w:rsid w:val="00E4582F"/>
    <w:rsid w:val="00E4601C"/>
    <w:rsid w:val="00E47E16"/>
    <w:rsid w:val="00E540C9"/>
    <w:rsid w:val="00E55786"/>
    <w:rsid w:val="00E60338"/>
    <w:rsid w:val="00E6219B"/>
    <w:rsid w:val="00E63575"/>
    <w:rsid w:val="00E6565E"/>
    <w:rsid w:val="00E72FCC"/>
    <w:rsid w:val="00E75E1B"/>
    <w:rsid w:val="00E86267"/>
    <w:rsid w:val="00E91A40"/>
    <w:rsid w:val="00E92798"/>
    <w:rsid w:val="00E950AC"/>
    <w:rsid w:val="00EA327C"/>
    <w:rsid w:val="00EA652F"/>
    <w:rsid w:val="00EB07CF"/>
    <w:rsid w:val="00EB0DB0"/>
    <w:rsid w:val="00EB4202"/>
    <w:rsid w:val="00EB5BCE"/>
    <w:rsid w:val="00EC0A36"/>
    <w:rsid w:val="00EC2BF2"/>
    <w:rsid w:val="00ED2721"/>
    <w:rsid w:val="00EE2CFE"/>
    <w:rsid w:val="00EE3B00"/>
    <w:rsid w:val="00EE5686"/>
    <w:rsid w:val="00EE65C0"/>
    <w:rsid w:val="00EF3053"/>
    <w:rsid w:val="00EF4660"/>
    <w:rsid w:val="00EF55F0"/>
    <w:rsid w:val="00F014DC"/>
    <w:rsid w:val="00F052BE"/>
    <w:rsid w:val="00F0679D"/>
    <w:rsid w:val="00F06B6A"/>
    <w:rsid w:val="00F120EE"/>
    <w:rsid w:val="00F216EC"/>
    <w:rsid w:val="00F27A55"/>
    <w:rsid w:val="00F35967"/>
    <w:rsid w:val="00F45AB8"/>
    <w:rsid w:val="00F45F55"/>
    <w:rsid w:val="00F46D1D"/>
    <w:rsid w:val="00F46ED5"/>
    <w:rsid w:val="00F50FC0"/>
    <w:rsid w:val="00F6133D"/>
    <w:rsid w:val="00F6188E"/>
    <w:rsid w:val="00F6324C"/>
    <w:rsid w:val="00F67C6A"/>
    <w:rsid w:val="00F72A16"/>
    <w:rsid w:val="00F90B17"/>
    <w:rsid w:val="00F94900"/>
    <w:rsid w:val="00F97327"/>
    <w:rsid w:val="00FA10C5"/>
    <w:rsid w:val="00FA363D"/>
    <w:rsid w:val="00FB1E4B"/>
    <w:rsid w:val="00FB7C25"/>
    <w:rsid w:val="00FC445A"/>
    <w:rsid w:val="00FF4927"/>
    <w:rsid w:val="00FF4992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AB1E-3C13-47C4-85C9-D4D67D2F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55</cp:revision>
  <cp:lastPrinted>2015-11-06T05:17:00Z</cp:lastPrinted>
  <dcterms:created xsi:type="dcterms:W3CDTF">2015-11-06T06:30:00Z</dcterms:created>
  <dcterms:modified xsi:type="dcterms:W3CDTF">2015-11-18T13:32:00Z</dcterms:modified>
</cp:coreProperties>
</file>