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F5048B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F5048B" w:rsidP="003C2260">
      <w:pPr>
        <w:jc w:val="center"/>
        <w:rPr>
          <w:rFonts w:ascii="Maiandra GD" w:hAnsi="Maiandra GD"/>
          <w:b/>
        </w:rPr>
      </w:pPr>
      <w:r w:rsidRPr="00F5048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9E099D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284B3A">
        <w:rPr>
          <w:rFonts w:ascii="Times New Roman" w:hAnsi="Times New Roman"/>
          <w:sz w:val="24"/>
          <w:szCs w:val="24"/>
        </w:rPr>
        <w:t xml:space="preserve"> 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THE DEGREE OF </w:t>
      </w:r>
      <w:r w:rsidR="00681B0B">
        <w:rPr>
          <w:rFonts w:ascii="Times New Roman" w:hAnsi="Times New Roman"/>
          <w:sz w:val="24"/>
          <w:szCs w:val="24"/>
        </w:rPr>
        <w:t>BACHELOR</w:t>
      </w:r>
      <w:r w:rsidR="00EF28C2">
        <w:rPr>
          <w:rFonts w:ascii="Times New Roman" w:hAnsi="Times New Roman"/>
          <w:sz w:val="24"/>
          <w:szCs w:val="24"/>
        </w:rPr>
        <w:t xml:space="preserve"> OF </w:t>
      </w:r>
      <w:r>
        <w:rPr>
          <w:rFonts w:ascii="Times New Roman" w:hAnsi="Times New Roman"/>
          <w:sz w:val="24"/>
          <w:szCs w:val="24"/>
        </w:rPr>
        <w:t>COMMERCE</w:t>
      </w:r>
    </w:p>
    <w:p w:rsidR="003C2260" w:rsidRPr="008F3024" w:rsidRDefault="009E099D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BCB 2304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BANKRUPTCY AND INSOLVENCY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F5048B" w:rsidRPr="00F5048B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DA1BFD">
        <w:rPr>
          <w:rFonts w:ascii="Times New Roman" w:hAnsi="Times New Roman"/>
          <w:b/>
        </w:rPr>
        <w:t>2</w:t>
      </w:r>
      <w:r w:rsidR="00EF54D6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F5048B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F5048B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E71571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612020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CC165B" w:rsidRDefault="009E099D" w:rsidP="009E09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Kabesty filed her own bankruptcy petition, the balance sheet of her business as on 31</w:t>
      </w:r>
      <w:r w:rsidRPr="009E099D">
        <w:rPr>
          <w:rFonts w:ascii="Times New Roman" w:hAnsi="Times New Roman"/>
          <w:sz w:val="24"/>
          <w:szCs w:val="24"/>
          <w:vertAlign w:val="superscript"/>
        </w:rPr>
        <w:t>st</w:t>
      </w:r>
      <w:r>
        <w:rPr>
          <w:rFonts w:ascii="Times New Roman" w:hAnsi="Times New Roman"/>
          <w:sz w:val="24"/>
          <w:szCs w:val="24"/>
        </w:rPr>
        <w:t xml:space="preserve"> March 2012, the date of receiving order showed:</w:t>
      </w:r>
    </w:p>
    <w:tbl>
      <w:tblPr>
        <w:tblStyle w:val="TableGrid"/>
        <w:tblW w:w="0" w:type="auto"/>
        <w:tblLook w:val="04A0"/>
      </w:tblPr>
      <w:tblGrid>
        <w:gridCol w:w="4968"/>
        <w:gridCol w:w="2160"/>
        <w:gridCol w:w="2178"/>
      </w:tblGrid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Book Values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Realizable Values</w:t>
            </w: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Capital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Sh. 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Sh.</w:t>
            </w: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Capital account as on 1</w:t>
            </w:r>
            <w:r w:rsidRPr="009E099D">
              <w:rPr>
                <w:rFonts w:ascii="Times New Roman" w:hAnsi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April 2011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600,000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Add: Profit for the year to 2012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200,000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Deduct drawings during the year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(180,000)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620,000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Liabilities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Trade creditors including 50,000 preferential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1,680,000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Loans secured on free-hold building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800,000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liabilities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Total capital and liabilities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Assets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Freehold building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1,200,000</w:t>
            </w:r>
          </w:p>
        </w:tc>
        <w:tc>
          <w:tcPr>
            <w:tcW w:w="217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1,400,000</w:t>
            </w: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25000 shares of shs.40 each in Tamiko Ltd</w:t>
            </w:r>
          </w:p>
        </w:tc>
        <w:tc>
          <w:tcPr>
            <w:tcW w:w="2160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1,000,000</w:t>
            </w:r>
          </w:p>
        </w:tc>
        <w:tc>
          <w:tcPr>
            <w:tcW w:w="2178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20,000</w:t>
            </w: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Stock in trade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400,000</w:t>
            </w:r>
          </w:p>
        </w:tc>
        <w:tc>
          <w:tcPr>
            <w:tcW w:w="2178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300,000</w:t>
            </w: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Debtors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400,000</w:t>
            </w:r>
          </w:p>
        </w:tc>
        <w:tc>
          <w:tcPr>
            <w:tcW w:w="2178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350,000</w:t>
            </w:r>
          </w:p>
        </w:tc>
      </w:tr>
      <w:tr w:rsidR="009E099D" w:rsidTr="009E099D">
        <w:tc>
          <w:tcPr>
            <w:tcW w:w="4968" w:type="dxa"/>
          </w:tcPr>
          <w:p w:rsidR="009E099D" w:rsidRDefault="009E099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Balance at bank</w:t>
            </w:r>
          </w:p>
        </w:tc>
        <w:tc>
          <w:tcPr>
            <w:tcW w:w="2160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100,000</w:t>
            </w:r>
          </w:p>
        </w:tc>
        <w:tc>
          <w:tcPr>
            <w:tcW w:w="2178" w:type="dxa"/>
          </w:tcPr>
          <w:p w:rsidR="009E099D" w:rsidRDefault="005C3ABD" w:rsidP="009E099D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9E099D">
              <w:rPr>
                <w:rFonts w:ascii="Times New Roman" w:hAnsi="Times New Roman"/>
                <w:sz w:val="24"/>
                <w:szCs w:val="24"/>
              </w:rPr>
              <w:t>100,000</w:t>
            </w:r>
          </w:p>
        </w:tc>
      </w:tr>
      <w:tr w:rsidR="009E099D" w:rsidRPr="009E099D" w:rsidTr="009E099D">
        <w:tc>
          <w:tcPr>
            <w:tcW w:w="4968" w:type="dxa"/>
          </w:tcPr>
          <w:p w:rsidR="009E099D" w:rsidRPr="009E099D" w:rsidRDefault="009E099D" w:rsidP="009E099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099D">
              <w:rPr>
                <w:rFonts w:ascii="Times New Roman" w:hAnsi="Times New Roman"/>
                <w:b/>
                <w:sz w:val="24"/>
                <w:szCs w:val="24"/>
              </w:rPr>
              <w:t>Total assets</w:t>
            </w:r>
          </w:p>
        </w:tc>
        <w:tc>
          <w:tcPr>
            <w:tcW w:w="2160" w:type="dxa"/>
          </w:tcPr>
          <w:p w:rsidR="009E099D" w:rsidRPr="009E099D" w:rsidRDefault="009E099D" w:rsidP="009E099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099D">
              <w:rPr>
                <w:rFonts w:ascii="Times New Roman" w:hAnsi="Times New Roman"/>
                <w:b/>
                <w:sz w:val="24"/>
                <w:szCs w:val="24"/>
              </w:rPr>
              <w:t>3,100,000</w:t>
            </w:r>
          </w:p>
        </w:tc>
        <w:tc>
          <w:tcPr>
            <w:tcW w:w="2178" w:type="dxa"/>
          </w:tcPr>
          <w:p w:rsidR="009E099D" w:rsidRPr="009E099D" w:rsidRDefault="009E099D" w:rsidP="009E099D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E099D">
              <w:rPr>
                <w:rFonts w:ascii="Times New Roman" w:hAnsi="Times New Roman"/>
                <w:b/>
                <w:sz w:val="24"/>
                <w:szCs w:val="24"/>
              </w:rPr>
              <w:t>12,400,000</w:t>
            </w:r>
          </w:p>
        </w:tc>
      </w:tr>
    </w:tbl>
    <w:p w:rsidR="009E099D" w:rsidRDefault="009E099D" w:rsidP="009E09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71571" w:rsidRDefault="00E71571" w:rsidP="009E099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Kabesty’s personal assets, not including above, comprised of a motor car valued as shs.200,000, a current account with a bank shs.40,000 and a disco watch valued as shs.10,000.  Her only personal liabilities outside the </w:t>
      </w:r>
      <w:r w:rsidR="00612020">
        <w:rPr>
          <w:rFonts w:ascii="Times New Roman" w:hAnsi="Times New Roman"/>
          <w:sz w:val="24"/>
          <w:szCs w:val="24"/>
        </w:rPr>
        <w:t>business were sh.6,000</w:t>
      </w:r>
      <w:r>
        <w:rPr>
          <w:rFonts w:ascii="Times New Roman" w:hAnsi="Times New Roman"/>
          <w:sz w:val="24"/>
          <w:szCs w:val="24"/>
        </w:rPr>
        <w:t xml:space="preserve"> due to her songster shs.10,000 owed to chemist Musene arising from unpaid bill of unauthorized drug Viagra.</w:t>
      </w:r>
    </w:p>
    <w:p w:rsidR="00E71571" w:rsidRPr="009E099D" w:rsidRDefault="00E71571" w:rsidP="009E099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B0375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9331AB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CC165B" w:rsidRDefault="009251F0" w:rsidP="009251F0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The following information was extracted from the financial statements of Maiga Company Ltd for the year ended 30</w:t>
      </w:r>
      <w:r w:rsidRPr="009251F0">
        <w:rPr>
          <w:sz w:val="24"/>
          <w:vertAlign w:val="superscript"/>
        </w:rPr>
        <w:t>th</w:t>
      </w:r>
      <w:r>
        <w:rPr>
          <w:sz w:val="24"/>
        </w:rPr>
        <w:t xml:space="preserve"> September 2014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Turnover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sh.20,000,000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Profit after taxation at 50%</w:t>
      </w:r>
      <w:r>
        <w:rPr>
          <w:sz w:val="24"/>
        </w:rPr>
        <w:tab/>
      </w:r>
      <w:r>
        <w:rPr>
          <w:sz w:val="24"/>
        </w:rPr>
        <w:tab/>
        <w:t>sh.  4,000,000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 xml:space="preserve">Ordinary dividend declared 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80% of profit after taxation</w:t>
      </w:r>
      <w:r>
        <w:rPr>
          <w:sz w:val="24"/>
        </w:rPr>
        <w:tab/>
      </w:r>
      <w:r>
        <w:rPr>
          <w:sz w:val="24"/>
        </w:rPr>
        <w:tab/>
        <w:t>sh.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Market price of ordinary shares</w:t>
      </w:r>
      <w:r>
        <w:rPr>
          <w:sz w:val="24"/>
        </w:rPr>
        <w:tab/>
        <w:t>sh.              64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Issued share capital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sh.</w:t>
      </w:r>
      <w:r>
        <w:rPr>
          <w:sz w:val="24"/>
        </w:rPr>
        <w:tab/>
        <w:t>-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14% preference shares of sh.8 each</w:t>
      </w:r>
      <w:r>
        <w:rPr>
          <w:sz w:val="24"/>
        </w:rPr>
        <w:tab/>
        <w:t>sh.    4,800,000</w:t>
      </w:r>
    </w:p>
    <w:p w:rsidR="009251F0" w:rsidRDefault="009251F0" w:rsidP="009251F0">
      <w:pPr>
        <w:pStyle w:val="Question"/>
        <w:spacing w:line="360" w:lineRule="auto"/>
        <w:ind w:left="0" w:firstLine="720"/>
        <w:rPr>
          <w:sz w:val="24"/>
        </w:rPr>
      </w:pPr>
      <w:r>
        <w:rPr>
          <w:sz w:val="24"/>
        </w:rPr>
        <w:t>Ordinary shares of sh.16 each</w:t>
      </w:r>
      <w:r>
        <w:rPr>
          <w:sz w:val="24"/>
        </w:rPr>
        <w:tab/>
      </w:r>
      <w:r>
        <w:rPr>
          <w:sz w:val="24"/>
        </w:rPr>
        <w:tab/>
        <w:t>sh.</w:t>
      </w:r>
      <w:r w:rsidR="00F97DE7">
        <w:rPr>
          <w:sz w:val="24"/>
        </w:rPr>
        <w:t xml:space="preserve">  </w:t>
      </w:r>
      <w:r>
        <w:rPr>
          <w:sz w:val="24"/>
        </w:rPr>
        <w:t>12,800,000</w:t>
      </w:r>
    </w:p>
    <w:p w:rsidR="009251F0" w:rsidRPr="00F97DE7" w:rsidRDefault="009251F0" w:rsidP="009251F0">
      <w:pPr>
        <w:pStyle w:val="Question"/>
        <w:spacing w:line="360" w:lineRule="auto"/>
        <w:rPr>
          <w:b/>
          <w:sz w:val="24"/>
          <w:u w:val="single"/>
        </w:rPr>
      </w:pPr>
      <w:r w:rsidRPr="00F97DE7">
        <w:rPr>
          <w:b/>
          <w:sz w:val="24"/>
          <w:u w:val="single"/>
        </w:rPr>
        <w:t>Required:</w:t>
      </w:r>
    </w:p>
    <w:p w:rsidR="009251F0" w:rsidRDefault="00B927A9" w:rsidP="00DE741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Calculate the following ratios:</w:t>
      </w:r>
    </w:p>
    <w:p w:rsidR="00B927A9" w:rsidRDefault="00B927A9" w:rsidP="00DE7416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Divided yield on the ordinary shares</w:t>
      </w:r>
    </w:p>
    <w:p w:rsidR="00B927A9" w:rsidRDefault="00B927A9" w:rsidP="00DE7416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The cover for the preference and ordinary shares dividends</w:t>
      </w:r>
    </w:p>
    <w:p w:rsidR="00B927A9" w:rsidRDefault="00B927A9" w:rsidP="00DE7416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>The earning yield</w:t>
      </w:r>
    </w:p>
    <w:p w:rsidR="00B927A9" w:rsidRDefault="00B927A9" w:rsidP="00DE7416">
      <w:pPr>
        <w:pStyle w:val="Question"/>
        <w:numPr>
          <w:ilvl w:val="0"/>
          <w:numId w:val="2"/>
        </w:numPr>
        <w:spacing w:line="360" w:lineRule="auto"/>
        <w:rPr>
          <w:sz w:val="24"/>
        </w:rPr>
      </w:pPr>
      <w:r>
        <w:rPr>
          <w:sz w:val="24"/>
        </w:rPr>
        <w:t xml:space="preserve">the price earnings (P/E) ratio </w:t>
      </w:r>
      <w:r w:rsidR="00627532">
        <w:rPr>
          <w:sz w:val="24"/>
        </w:rPr>
        <w:tab/>
      </w:r>
      <w:r w:rsidR="00627532">
        <w:rPr>
          <w:sz w:val="24"/>
        </w:rPr>
        <w:tab/>
      </w:r>
      <w:r w:rsidR="00627532">
        <w:rPr>
          <w:sz w:val="24"/>
        </w:rPr>
        <w:tab/>
      </w:r>
      <w:r w:rsidR="00627532">
        <w:rPr>
          <w:sz w:val="24"/>
        </w:rPr>
        <w:tab/>
      </w:r>
      <w:r w:rsidR="00627532">
        <w:rPr>
          <w:sz w:val="24"/>
        </w:rPr>
        <w:tab/>
        <w:t>(10 Marks)</w:t>
      </w:r>
    </w:p>
    <w:p w:rsidR="00B927A9" w:rsidRDefault="00B927A9" w:rsidP="00DE7416">
      <w:pPr>
        <w:pStyle w:val="Question"/>
        <w:numPr>
          <w:ilvl w:val="0"/>
          <w:numId w:val="1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usefulness and shortcomings of each of the above ratios</w:t>
      </w:r>
      <w:r w:rsidR="00627532">
        <w:rPr>
          <w:sz w:val="24"/>
        </w:rPr>
        <w:tab/>
        <w:t>(10 Marks)</w:t>
      </w:r>
    </w:p>
    <w:p w:rsidR="00CC165B" w:rsidRPr="001F4BD9" w:rsidRDefault="00CC165B" w:rsidP="00CC165B">
      <w:pPr>
        <w:pStyle w:val="Question"/>
        <w:spacing w:line="360" w:lineRule="auto"/>
        <w:ind w:left="270" w:firstLine="0"/>
        <w:rPr>
          <w:sz w:val="24"/>
        </w:rPr>
      </w:pPr>
    </w:p>
    <w:p w:rsidR="001F4BD9" w:rsidRDefault="0007693A" w:rsidP="00BF44C2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A6343B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4932F3" w:rsidRDefault="00691145" w:rsidP="00212847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 xml:space="preserve">Chapter 53 of the Bankruptcy Act requires </w:t>
      </w:r>
      <w:r w:rsidR="00212847">
        <w:rPr>
          <w:sz w:val="24"/>
        </w:rPr>
        <w:t xml:space="preserve">a debtor to provide Debtor’s Statement of Affairs.  What are the major differences between the balance sheet and the statement of affairs? </w:t>
      </w:r>
    </w:p>
    <w:p w:rsidR="00212847" w:rsidRDefault="00212847" w:rsidP="00212847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(20 Marks)</w:t>
      </w:r>
    </w:p>
    <w:p w:rsidR="00C41C27" w:rsidRPr="00CC165B" w:rsidRDefault="00C41C27" w:rsidP="00C41C27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6A455B">
      <w:pPr>
        <w:pStyle w:val="Question"/>
        <w:tabs>
          <w:tab w:val="left" w:pos="270"/>
        </w:tabs>
        <w:spacing w:line="360" w:lineRule="auto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A6343B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C41C27" w:rsidRPr="0053432E" w:rsidRDefault="00212847" w:rsidP="00212847">
      <w:pPr>
        <w:pStyle w:val="Question"/>
        <w:spacing w:line="360" w:lineRule="auto"/>
        <w:ind w:left="0" w:firstLine="0"/>
        <w:rPr>
          <w:sz w:val="24"/>
        </w:rPr>
      </w:pPr>
      <w:r>
        <w:rPr>
          <w:sz w:val="24"/>
        </w:rPr>
        <w:t>Using clear formulas and explanations discuss any two techniques used to predict financial distress in companies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7532">
        <w:rPr>
          <w:sz w:val="24"/>
        </w:rPr>
        <w:tab/>
      </w:r>
      <w:r>
        <w:rPr>
          <w:sz w:val="24"/>
        </w:rPr>
        <w:t>(20 Marks)</w:t>
      </w:r>
    </w:p>
    <w:sectPr w:rsidR="00C41C27" w:rsidRPr="0053432E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9B0" w:rsidRDefault="00DB09B0" w:rsidP="00AF76B0">
      <w:pPr>
        <w:spacing w:after="0" w:line="240" w:lineRule="auto"/>
      </w:pPr>
      <w:r>
        <w:separator/>
      </w:r>
    </w:p>
  </w:endnote>
  <w:endnote w:type="continuationSeparator" w:id="1">
    <w:p w:rsidR="00DB09B0" w:rsidRDefault="00DB09B0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627532" w:rsidRPr="00627532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9B0" w:rsidRDefault="00DB09B0" w:rsidP="00AF76B0">
      <w:pPr>
        <w:spacing w:after="0" w:line="240" w:lineRule="auto"/>
      </w:pPr>
      <w:r>
        <w:separator/>
      </w:r>
    </w:p>
  </w:footnote>
  <w:footnote w:type="continuationSeparator" w:id="1">
    <w:p w:rsidR="00DB09B0" w:rsidRDefault="00DB09B0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33BDB"/>
    <w:multiLevelType w:val="hybridMultilevel"/>
    <w:tmpl w:val="F00E104E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4DD770CE"/>
    <w:multiLevelType w:val="hybridMultilevel"/>
    <w:tmpl w:val="A9D86D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4377"/>
    <w:rsid w:val="000053DD"/>
    <w:rsid w:val="00006FFC"/>
    <w:rsid w:val="00011B9A"/>
    <w:rsid w:val="00014E19"/>
    <w:rsid w:val="00015589"/>
    <w:rsid w:val="00021016"/>
    <w:rsid w:val="00023FFA"/>
    <w:rsid w:val="000258D7"/>
    <w:rsid w:val="00026427"/>
    <w:rsid w:val="00031635"/>
    <w:rsid w:val="00033663"/>
    <w:rsid w:val="00041090"/>
    <w:rsid w:val="00042BEB"/>
    <w:rsid w:val="00043140"/>
    <w:rsid w:val="00043C29"/>
    <w:rsid w:val="00043CD2"/>
    <w:rsid w:val="00044317"/>
    <w:rsid w:val="00050ACD"/>
    <w:rsid w:val="00050E58"/>
    <w:rsid w:val="00051AAF"/>
    <w:rsid w:val="00052CE6"/>
    <w:rsid w:val="000549A9"/>
    <w:rsid w:val="00055CF0"/>
    <w:rsid w:val="000606C8"/>
    <w:rsid w:val="000625F8"/>
    <w:rsid w:val="00062BA6"/>
    <w:rsid w:val="00062C4E"/>
    <w:rsid w:val="0006389C"/>
    <w:rsid w:val="00065504"/>
    <w:rsid w:val="00074B10"/>
    <w:rsid w:val="00075476"/>
    <w:rsid w:val="00075B63"/>
    <w:rsid w:val="0007693A"/>
    <w:rsid w:val="000778B2"/>
    <w:rsid w:val="000808A5"/>
    <w:rsid w:val="00081915"/>
    <w:rsid w:val="00082832"/>
    <w:rsid w:val="00083867"/>
    <w:rsid w:val="000840B6"/>
    <w:rsid w:val="00084F47"/>
    <w:rsid w:val="0008584B"/>
    <w:rsid w:val="0009047F"/>
    <w:rsid w:val="000A20DE"/>
    <w:rsid w:val="000A2BB7"/>
    <w:rsid w:val="000B05C7"/>
    <w:rsid w:val="000B201E"/>
    <w:rsid w:val="000C2C49"/>
    <w:rsid w:val="000C3D9C"/>
    <w:rsid w:val="000D122E"/>
    <w:rsid w:val="000D7492"/>
    <w:rsid w:val="000E3C90"/>
    <w:rsid w:val="000F3E8D"/>
    <w:rsid w:val="000F429C"/>
    <w:rsid w:val="000F6818"/>
    <w:rsid w:val="00102F14"/>
    <w:rsid w:val="001035C8"/>
    <w:rsid w:val="00107895"/>
    <w:rsid w:val="00113A18"/>
    <w:rsid w:val="00115533"/>
    <w:rsid w:val="00115B87"/>
    <w:rsid w:val="00116B56"/>
    <w:rsid w:val="00117925"/>
    <w:rsid w:val="00125035"/>
    <w:rsid w:val="00125A71"/>
    <w:rsid w:val="00126B29"/>
    <w:rsid w:val="00130614"/>
    <w:rsid w:val="00131244"/>
    <w:rsid w:val="00133B49"/>
    <w:rsid w:val="00140029"/>
    <w:rsid w:val="00140134"/>
    <w:rsid w:val="00141AD7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544D3"/>
    <w:rsid w:val="001604BD"/>
    <w:rsid w:val="00160535"/>
    <w:rsid w:val="00170F4B"/>
    <w:rsid w:val="00172E31"/>
    <w:rsid w:val="001751FC"/>
    <w:rsid w:val="00176659"/>
    <w:rsid w:val="00176F2E"/>
    <w:rsid w:val="00181E32"/>
    <w:rsid w:val="001844DA"/>
    <w:rsid w:val="00185292"/>
    <w:rsid w:val="00190310"/>
    <w:rsid w:val="001A13E7"/>
    <w:rsid w:val="001B0375"/>
    <w:rsid w:val="001B0F04"/>
    <w:rsid w:val="001B1295"/>
    <w:rsid w:val="001B23C7"/>
    <w:rsid w:val="001B4115"/>
    <w:rsid w:val="001B5986"/>
    <w:rsid w:val="001B7672"/>
    <w:rsid w:val="001C2DBC"/>
    <w:rsid w:val="001C39DF"/>
    <w:rsid w:val="001C75B8"/>
    <w:rsid w:val="001C7E04"/>
    <w:rsid w:val="001D06CB"/>
    <w:rsid w:val="001D29D8"/>
    <w:rsid w:val="001D57B5"/>
    <w:rsid w:val="001D6B23"/>
    <w:rsid w:val="001E2B15"/>
    <w:rsid w:val="001E7A38"/>
    <w:rsid w:val="001F1918"/>
    <w:rsid w:val="001F1D50"/>
    <w:rsid w:val="001F1E9E"/>
    <w:rsid w:val="001F2E95"/>
    <w:rsid w:val="001F38C3"/>
    <w:rsid w:val="001F4BD9"/>
    <w:rsid w:val="001F565F"/>
    <w:rsid w:val="001F72DA"/>
    <w:rsid w:val="0020289E"/>
    <w:rsid w:val="00204B78"/>
    <w:rsid w:val="00212847"/>
    <w:rsid w:val="00213676"/>
    <w:rsid w:val="0021399F"/>
    <w:rsid w:val="00214520"/>
    <w:rsid w:val="00214810"/>
    <w:rsid w:val="00221C72"/>
    <w:rsid w:val="00223A1E"/>
    <w:rsid w:val="00223DE0"/>
    <w:rsid w:val="0022524A"/>
    <w:rsid w:val="00225761"/>
    <w:rsid w:val="00225D2D"/>
    <w:rsid w:val="00226619"/>
    <w:rsid w:val="00226BCA"/>
    <w:rsid w:val="002346D3"/>
    <w:rsid w:val="00235EFE"/>
    <w:rsid w:val="00240AC1"/>
    <w:rsid w:val="00244B90"/>
    <w:rsid w:val="00245AA2"/>
    <w:rsid w:val="002472F4"/>
    <w:rsid w:val="002569CB"/>
    <w:rsid w:val="00257844"/>
    <w:rsid w:val="00260246"/>
    <w:rsid w:val="002619A5"/>
    <w:rsid w:val="00264BF6"/>
    <w:rsid w:val="00272F67"/>
    <w:rsid w:val="0027401F"/>
    <w:rsid w:val="002807C8"/>
    <w:rsid w:val="00281663"/>
    <w:rsid w:val="00281F20"/>
    <w:rsid w:val="0028371A"/>
    <w:rsid w:val="00284B3A"/>
    <w:rsid w:val="002910E7"/>
    <w:rsid w:val="002935BE"/>
    <w:rsid w:val="00294E02"/>
    <w:rsid w:val="00296204"/>
    <w:rsid w:val="00297539"/>
    <w:rsid w:val="002A645F"/>
    <w:rsid w:val="002A7279"/>
    <w:rsid w:val="002A783A"/>
    <w:rsid w:val="002B159B"/>
    <w:rsid w:val="002B1E7E"/>
    <w:rsid w:val="002B1F0B"/>
    <w:rsid w:val="002B5705"/>
    <w:rsid w:val="002B761A"/>
    <w:rsid w:val="002C16FA"/>
    <w:rsid w:val="002C22B3"/>
    <w:rsid w:val="002C6087"/>
    <w:rsid w:val="002C6AA8"/>
    <w:rsid w:val="002D3211"/>
    <w:rsid w:val="002D3505"/>
    <w:rsid w:val="002D6597"/>
    <w:rsid w:val="002E0AD8"/>
    <w:rsid w:val="002E14C1"/>
    <w:rsid w:val="002E1B31"/>
    <w:rsid w:val="002E5DE2"/>
    <w:rsid w:val="002E5E93"/>
    <w:rsid w:val="002F2C85"/>
    <w:rsid w:val="002F511B"/>
    <w:rsid w:val="0030404A"/>
    <w:rsid w:val="00310EAE"/>
    <w:rsid w:val="00314B66"/>
    <w:rsid w:val="0031559F"/>
    <w:rsid w:val="003157B3"/>
    <w:rsid w:val="00321C40"/>
    <w:rsid w:val="00323713"/>
    <w:rsid w:val="00325A1A"/>
    <w:rsid w:val="00327FF7"/>
    <w:rsid w:val="00330A1B"/>
    <w:rsid w:val="00333E65"/>
    <w:rsid w:val="0033634C"/>
    <w:rsid w:val="00341D23"/>
    <w:rsid w:val="00344A17"/>
    <w:rsid w:val="003451E1"/>
    <w:rsid w:val="0034569E"/>
    <w:rsid w:val="00345A7A"/>
    <w:rsid w:val="00350193"/>
    <w:rsid w:val="003501A3"/>
    <w:rsid w:val="00353891"/>
    <w:rsid w:val="00354CE0"/>
    <w:rsid w:val="00354FBC"/>
    <w:rsid w:val="003562D4"/>
    <w:rsid w:val="00356713"/>
    <w:rsid w:val="003611BA"/>
    <w:rsid w:val="00367672"/>
    <w:rsid w:val="00367A3A"/>
    <w:rsid w:val="00372C47"/>
    <w:rsid w:val="00380C7C"/>
    <w:rsid w:val="0038146B"/>
    <w:rsid w:val="003816AC"/>
    <w:rsid w:val="00386080"/>
    <w:rsid w:val="003873D0"/>
    <w:rsid w:val="00387EF8"/>
    <w:rsid w:val="00392154"/>
    <w:rsid w:val="00392E01"/>
    <w:rsid w:val="003A1D40"/>
    <w:rsid w:val="003A419F"/>
    <w:rsid w:val="003A4C7B"/>
    <w:rsid w:val="003A614C"/>
    <w:rsid w:val="003A7E42"/>
    <w:rsid w:val="003B06FF"/>
    <w:rsid w:val="003B1EAD"/>
    <w:rsid w:val="003B1F1A"/>
    <w:rsid w:val="003B4531"/>
    <w:rsid w:val="003B5776"/>
    <w:rsid w:val="003B7182"/>
    <w:rsid w:val="003C2260"/>
    <w:rsid w:val="003C24F6"/>
    <w:rsid w:val="003C6F48"/>
    <w:rsid w:val="003D22D5"/>
    <w:rsid w:val="003D2927"/>
    <w:rsid w:val="003D5E40"/>
    <w:rsid w:val="003E148C"/>
    <w:rsid w:val="003E3FB0"/>
    <w:rsid w:val="003E53C2"/>
    <w:rsid w:val="003F02D8"/>
    <w:rsid w:val="003F5F44"/>
    <w:rsid w:val="003F6102"/>
    <w:rsid w:val="0040482C"/>
    <w:rsid w:val="00405C4B"/>
    <w:rsid w:val="004179AF"/>
    <w:rsid w:val="00420C5B"/>
    <w:rsid w:val="004221CA"/>
    <w:rsid w:val="0042378C"/>
    <w:rsid w:val="00425811"/>
    <w:rsid w:val="004263EA"/>
    <w:rsid w:val="00426F74"/>
    <w:rsid w:val="0042706D"/>
    <w:rsid w:val="00430811"/>
    <w:rsid w:val="0043155B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3646"/>
    <w:rsid w:val="004649F6"/>
    <w:rsid w:val="00467553"/>
    <w:rsid w:val="004742A0"/>
    <w:rsid w:val="004746DD"/>
    <w:rsid w:val="0048075A"/>
    <w:rsid w:val="004823D8"/>
    <w:rsid w:val="00483627"/>
    <w:rsid w:val="004879D1"/>
    <w:rsid w:val="0049272C"/>
    <w:rsid w:val="004932F3"/>
    <w:rsid w:val="00493C42"/>
    <w:rsid w:val="004A0351"/>
    <w:rsid w:val="004A0C67"/>
    <w:rsid w:val="004A44F1"/>
    <w:rsid w:val="004A62D6"/>
    <w:rsid w:val="004B41E3"/>
    <w:rsid w:val="004B5CC9"/>
    <w:rsid w:val="004B6B8B"/>
    <w:rsid w:val="004C4427"/>
    <w:rsid w:val="004C5BD0"/>
    <w:rsid w:val="004C6AC9"/>
    <w:rsid w:val="004D44F4"/>
    <w:rsid w:val="004D578C"/>
    <w:rsid w:val="004E0BFE"/>
    <w:rsid w:val="004E0DAD"/>
    <w:rsid w:val="004E2508"/>
    <w:rsid w:val="004E2FE3"/>
    <w:rsid w:val="004E36E3"/>
    <w:rsid w:val="004E4131"/>
    <w:rsid w:val="004E5575"/>
    <w:rsid w:val="004E7062"/>
    <w:rsid w:val="004F029B"/>
    <w:rsid w:val="004F064B"/>
    <w:rsid w:val="004F2C13"/>
    <w:rsid w:val="004F3730"/>
    <w:rsid w:val="00507E91"/>
    <w:rsid w:val="0051058A"/>
    <w:rsid w:val="0051077F"/>
    <w:rsid w:val="005114BC"/>
    <w:rsid w:val="005156C7"/>
    <w:rsid w:val="005162B2"/>
    <w:rsid w:val="005175AC"/>
    <w:rsid w:val="00517967"/>
    <w:rsid w:val="00520714"/>
    <w:rsid w:val="00520C93"/>
    <w:rsid w:val="00520E80"/>
    <w:rsid w:val="00522591"/>
    <w:rsid w:val="00522E7A"/>
    <w:rsid w:val="00524857"/>
    <w:rsid w:val="005273E4"/>
    <w:rsid w:val="00527F0B"/>
    <w:rsid w:val="00533321"/>
    <w:rsid w:val="0053432E"/>
    <w:rsid w:val="00535435"/>
    <w:rsid w:val="005421BB"/>
    <w:rsid w:val="00542254"/>
    <w:rsid w:val="00545147"/>
    <w:rsid w:val="005461FC"/>
    <w:rsid w:val="0054621D"/>
    <w:rsid w:val="00546D3B"/>
    <w:rsid w:val="00551644"/>
    <w:rsid w:val="0055186B"/>
    <w:rsid w:val="00553DCE"/>
    <w:rsid w:val="00554153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5D2C"/>
    <w:rsid w:val="005A7774"/>
    <w:rsid w:val="005B0679"/>
    <w:rsid w:val="005B7BDB"/>
    <w:rsid w:val="005C0A1F"/>
    <w:rsid w:val="005C16D2"/>
    <w:rsid w:val="005C197F"/>
    <w:rsid w:val="005C3ABD"/>
    <w:rsid w:val="005C4686"/>
    <w:rsid w:val="005C681A"/>
    <w:rsid w:val="005C78EA"/>
    <w:rsid w:val="005D24C5"/>
    <w:rsid w:val="005D5A58"/>
    <w:rsid w:val="005D60BC"/>
    <w:rsid w:val="005E1482"/>
    <w:rsid w:val="005E31B2"/>
    <w:rsid w:val="005E3FF3"/>
    <w:rsid w:val="005E5630"/>
    <w:rsid w:val="005E63D2"/>
    <w:rsid w:val="005E7CB5"/>
    <w:rsid w:val="005F1C2D"/>
    <w:rsid w:val="005F5664"/>
    <w:rsid w:val="005F5EE0"/>
    <w:rsid w:val="005F7B1C"/>
    <w:rsid w:val="00600F5D"/>
    <w:rsid w:val="0060749A"/>
    <w:rsid w:val="00611890"/>
    <w:rsid w:val="00612020"/>
    <w:rsid w:val="006145F9"/>
    <w:rsid w:val="00616DAB"/>
    <w:rsid w:val="00617AFC"/>
    <w:rsid w:val="0062083B"/>
    <w:rsid w:val="00621DB6"/>
    <w:rsid w:val="00622AA7"/>
    <w:rsid w:val="00626D65"/>
    <w:rsid w:val="00627532"/>
    <w:rsid w:val="00630DFF"/>
    <w:rsid w:val="00641FCE"/>
    <w:rsid w:val="00644721"/>
    <w:rsid w:val="0065303C"/>
    <w:rsid w:val="006538CB"/>
    <w:rsid w:val="00655849"/>
    <w:rsid w:val="00656EEB"/>
    <w:rsid w:val="00661797"/>
    <w:rsid w:val="00664EC2"/>
    <w:rsid w:val="00665588"/>
    <w:rsid w:val="00665D05"/>
    <w:rsid w:val="00666EC3"/>
    <w:rsid w:val="00672814"/>
    <w:rsid w:val="00673966"/>
    <w:rsid w:val="00680148"/>
    <w:rsid w:val="00681B0B"/>
    <w:rsid w:val="0068446D"/>
    <w:rsid w:val="00691145"/>
    <w:rsid w:val="00695061"/>
    <w:rsid w:val="00696505"/>
    <w:rsid w:val="00697C01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73B8"/>
    <w:rsid w:val="006C0172"/>
    <w:rsid w:val="006C1085"/>
    <w:rsid w:val="006C3129"/>
    <w:rsid w:val="006C315E"/>
    <w:rsid w:val="006E2FA2"/>
    <w:rsid w:val="006E6B55"/>
    <w:rsid w:val="006F0FB6"/>
    <w:rsid w:val="006F261E"/>
    <w:rsid w:val="006F3E63"/>
    <w:rsid w:val="0070166C"/>
    <w:rsid w:val="00702263"/>
    <w:rsid w:val="0070376C"/>
    <w:rsid w:val="00703C2D"/>
    <w:rsid w:val="0070580D"/>
    <w:rsid w:val="0070580E"/>
    <w:rsid w:val="00705AC8"/>
    <w:rsid w:val="007064FE"/>
    <w:rsid w:val="00710DF5"/>
    <w:rsid w:val="00713ED0"/>
    <w:rsid w:val="00717562"/>
    <w:rsid w:val="00717659"/>
    <w:rsid w:val="00717B23"/>
    <w:rsid w:val="00720DD7"/>
    <w:rsid w:val="00721C35"/>
    <w:rsid w:val="00721D4B"/>
    <w:rsid w:val="007226E3"/>
    <w:rsid w:val="00726C99"/>
    <w:rsid w:val="00735464"/>
    <w:rsid w:val="00735BA8"/>
    <w:rsid w:val="00737C06"/>
    <w:rsid w:val="00741F65"/>
    <w:rsid w:val="007475B1"/>
    <w:rsid w:val="0075797C"/>
    <w:rsid w:val="0076131C"/>
    <w:rsid w:val="00762AB0"/>
    <w:rsid w:val="00763574"/>
    <w:rsid w:val="00764DAD"/>
    <w:rsid w:val="007662E8"/>
    <w:rsid w:val="0076688F"/>
    <w:rsid w:val="00766964"/>
    <w:rsid w:val="00767F15"/>
    <w:rsid w:val="00770459"/>
    <w:rsid w:val="00775DD0"/>
    <w:rsid w:val="007764A7"/>
    <w:rsid w:val="007852B5"/>
    <w:rsid w:val="00785644"/>
    <w:rsid w:val="00793527"/>
    <w:rsid w:val="00794848"/>
    <w:rsid w:val="00795C16"/>
    <w:rsid w:val="007A1FA9"/>
    <w:rsid w:val="007A50A4"/>
    <w:rsid w:val="007A52AB"/>
    <w:rsid w:val="007A5421"/>
    <w:rsid w:val="007A6B58"/>
    <w:rsid w:val="007B0504"/>
    <w:rsid w:val="007C1380"/>
    <w:rsid w:val="007C1C7A"/>
    <w:rsid w:val="007C4A0F"/>
    <w:rsid w:val="007C5CAD"/>
    <w:rsid w:val="007C670C"/>
    <w:rsid w:val="007D1361"/>
    <w:rsid w:val="007D1CC1"/>
    <w:rsid w:val="007D4569"/>
    <w:rsid w:val="007D514B"/>
    <w:rsid w:val="007D580C"/>
    <w:rsid w:val="007D5E75"/>
    <w:rsid w:val="007D6BC6"/>
    <w:rsid w:val="007D7F6D"/>
    <w:rsid w:val="007E0B9B"/>
    <w:rsid w:val="007E2187"/>
    <w:rsid w:val="007E7399"/>
    <w:rsid w:val="007F5C0B"/>
    <w:rsid w:val="0080394E"/>
    <w:rsid w:val="00803E6B"/>
    <w:rsid w:val="00803FA6"/>
    <w:rsid w:val="008051B1"/>
    <w:rsid w:val="00806003"/>
    <w:rsid w:val="00811F46"/>
    <w:rsid w:val="008123F3"/>
    <w:rsid w:val="00813B9B"/>
    <w:rsid w:val="00814F66"/>
    <w:rsid w:val="008171E1"/>
    <w:rsid w:val="00820EB6"/>
    <w:rsid w:val="0082442D"/>
    <w:rsid w:val="00825C8B"/>
    <w:rsid w:val="00827BC1"/>
    <w:rsid w:val="008306BD"/>
    <w:rsid w:val="00831362"/>
    <w:rsid w:val="00831A3A"/>
    <w:rsid w:val="008327E7"/>
    <w:rsid w:val="008353C8"/>
    <w:rsid w:val="00836661"/>
    <w:rsid w:val="00842FDD"/>
    <w:rsid w:val="008500F9"/>
    <w:rsid w:val="00852D1C"/>
    <w:rsid w:val="00855961"/>
    <w:rsid w:val="008566DB"/>
    <w:rsid w:val="00856AD6"/>
    <w:rsid w:val="00856AEA"/>
    <w:rsid w:val="00857CE3"/>
    <w:rsid w:val="00857EC1"/>
    <w:rsid w:val="008600FA"/>
    <w:rsid w:val="008604A0"/>
    <w:rsid w:val="00861418"/>
    <w:rsid w:val="00863C64"/>
    <w:rsid w:val="0086510E"/>
    <w:rsid w:val="00866091"/>
    <w:rsid w:val="0087075F"/>
    <w:rsid w:val="0087128C"/>
    <w:rsid w:val="00874816"/>
    <w:rsid w:val="008772D0"/>
    <w:rsid w:val="00877C26"/>
    <w:rsid w:val="008842C7"/>
    <w:rsid w:val="00886C71"/>
    <w:rsid w:val="008872E0"/>
    <w:rsid w:val="00894A57"/>
    <w:rsid w:val="0089586D"/>
    <w:rsid w:val="008A1FA9"/>
    <w:rsid w:val="008A2B27"/>
    <w:rsid w:val="008A39F0"/>
    <w:rsid w:val="008A51E2"/>
    <w:rsid w:val="008A6BE5"/>
    <w:rsid w:val="008A6F8F"/>
    <w:rsid w:val="008B0FD8"/>
    <w:rsid w:val="008B352A"/>
    <w:rsid w:val="008B6769"/>
    <w:rsid w:val="008C1348"/>
    <w:rsid w:val="008C5134"/>
    <w:rsid w:val="008C5A96"/>
    <w:rsid w:val="008D2C85"/>
    <w:rsid w:val="008D3849"/>
    <w:rsid w:val="008E06EC"/>
    <w:rsid w:val="008E24F1"/>
    <w:rsid w:val="008E620D"/>
    <w:rsid w:val="008F164F"/>
    <w:rsid w:val="008F1E11"/>
    <w:rsid w:val="008F2367"/>
    <w:rsid w:val="008F3024"/>
    <w:rsid w:val="008F3F06"/>
    <w:rsid w:val="008F58C1"/>
    <w:rsid w:val="008F6250"/>
    <w:rsid w:val="00900B46"/>
    <w:rsid w:val="00903136"/>
    <w:rsid w:val="009057FC"/>
    <w:rsid w:val="00905F21"/>
    <w:rsid w:val="009070B8"/>
    <w:rsid w:val="00913D7B"/>
    <w:rsid w:val="00914430"/>
    <w:rsid w:val="00916AE6"/>
    <w:rsid w:val="009215FF"/>
    <w:rsid w:val="009229C5"/>
    <w:rsid w:val="009251F0"/>
    <w:rsid w:val="00926DD2"/>
    <w:rsid w:val="009271E8"/>
    <w:rsid w:val="009304B3"/>
    <w:rsid w:val="009320C7"/>
    <w:rsid w:val="00932E66"/>
    <w:rsid w:val="009331AB"/>
    <w:rsid w:val="00933C8A"/>
    <w:rsid w:val="00933D10"/>
    <w:rsid w:val="00934353"/>
    <w:rsid w:val="00934969"/>
    <w:rsid w:val="00942EF6"/>
    <w:rsid w:val="00942FBD"/>
    <w:rsid w:val="00944019"/>
    <w:rsid w:val="00951704"/>
    <w:rsid w:val="009534F1"/>
    <w:rsid w:val="00957F17"/>
    <w:rsid w:val="009630A0"/>
    <w:rsid w:val="009637AF"/>
    <w:rsid w:val="00964788"/>
    <w:rsid w:val="00970BC9"/>
    <w:rsid w:val="00975AE0"/>
    <w:rsid w:val="009847D9"/>
    <w:rsid w:val="009862DB"/>
    <w:rsid w:val="00986F79"/>
    <w:rsid w:val="00991904"/>
    <w:rsid w:val="009919EB"/>
    <w:rsid w:val="009929BB"/>
    <w:rsid w:val="0099343A"/>
    <w:rsid w:val="00993485"/>
    <w:rsid w:val="0099409A"/>
    <w:rsid w:val="00995507"/>
    <w:rsid w:val="009962F3"/>
    <w:rsid w:val="009A01E5"/>
    <w:rsid w:val="009A3273"/>
    <w:rsid w:val="009A451C"/>
    <w:rsid w:val="009B0E12"/>
    <w:rsid w:val="009B30E5"/>
    <w:rsid w:val="009B43F6"/>
    <w:rsid w:val="009B4670"/>
    <w:rsid w:val="009B7BA7"/>
    <w:rsid w:val="009C20C6"/>
    <w:rsid w:val="009C29C3"/>
    <w:rsid w:val="009C7F2D"/>
    <w:rsid w:val="009D0308"/>
    <w:rsid w:val="009D0646"/>
    <w:rsid w:val="009E099D"/>
    <w:rsid w:val="009E3C40"/>
    <w:rsid w:val="009E5D6D"/>
    <w:rsid w:val="009F2631"/>
    <w:rsid w:val="009F279E"/>
    <w:rsid w:val="009F5168"/>
    <w:rsid w:val="009F5F91"/>
    <w:rsid w:val="00A01508"/>
    <w:rsid w:val="00A07EB6"/>
    <w:rsid w:val="00A104C6"/>
    <w:rsid w:val="00A12863"/>
    <w:rsid w:val="00A143A6"/>
    <w:rsid w:val="00A21949"/>
    <w:rsid w:val="00A224B8"/>
    <w:rsid w:val="00A24723"/>
    <w:rsid w:val="00A26214"/>
    <w:rsid w:val="00A2622F"/>
    <w:rsid w:val="00A35404"/>
    <w:rsid w:val="00A409A7"/>
    <w:rsid w:val="00A416C3"/>
    <w:rsid w:val="00A43F74"/>
    <w:rsid w:val="00A44D84"/>
    <w:rsid w:val="00A54A0A"/>
    <w:rsid w:val="00A631F8"/>
    <w:rsid w:val="00A6343B"/>
    <w:rsid w:val="00A73FB4"/>
    <w:rsid w:val="00A7514A"/>
    <w:rsid w:val="00A76120"/>
    <w:rsid w:val="00A7763B"/>
    <w:rsid w:val="00A81B06"/>
    <w:rsid w:val="00A84785"/>
    <w:rsid w:val="00A86BE7"/>
    <w:rsid w:val="00A94142"/>
    <w:rsid w:val="00A94E3C"/>
    <w:rsid w:val="00A97E83"/>
    <w:rsid w:val="00AA1906"/>
    <w:rsid w:val="00AA43C7"/>
    <w:rsid w:val="00AA46E9"/>
    <w:rsid w:val="00AA7AF5"/>
    <w:rsid w:val="00AB1CD7"/>
    <w:rsid w:val="00AB3FB9"/>
    <w:rsid w:val="00AB47D8"/>
    <w:rsid w:val="00AB6661"/>
    <w:rsid w:val="00AC2432"/>
    <w:rsid w:val="00AC468E"/>
    <w:rsid w:val="00AC5C48"/>
    <w:rsid w:val="00AC7F8E"/>
    <w:rsid w:val="00AD2AA3"/>
    <w:rsid w:val="00AD33FE"/>
    <w:rsid w:val="00AD55F0"/>
    <w:rsid w:val="00AE2FBD"/>
    <w:rsid w:val="00AE35D8"/>
    <w:rsid w:val="00AE5033"/>
    <w:rsid w:val="00AE6593"/>
    <w:rsid w:val="00AF03D7"/>
    <w:rsid w:val="00AF28BA"/>
    <w:rsid w:val="00AF58CC"/>
    <w:rsid w:val="00AF76B0"/>
    <w:rsid w:val="00B005C8"/>
    <w:rsid w:val="00B00B81"/>
    <w:rsid w:val="00B01017"/>
    <w:rsid w:val="00B107E2"/>
    <w:rsid w:val="00B1240A"/>
    <w:rsid w:val="00B15271"/>
    <w:rsid w:val="00B15CCA"/>
    <w:rsid w:val="00B202F6"/>
    <w:rsid w:val="00B23620"/>
    <w:rsid w:val="00B242A5"/>
    <w:rsid w:val="00B243B9"/>
    <w:rsid w:val="00B24CA5"/>
    <w:rsid w:val="00B2502E"/>
    <w:rsid w:val="00B27C96"/>
    <w:rsid w:val="00B27CD9"/>
    <w:rsid w:val="00B30ECC"/>
    <w:rsid w:val="00B4088E"/>
    <w:rsid w:val="00B41BB9"/>
    <w:rsid w:val="00B41CCC"/>
    <w:rsid w:val="00B42107"/>
    <w:rsid w:val="00B4305A"/>
    <w:rsid w:val="00B4517E"/>
    <w:rsid w:val="00B46108"/>
    <w:rsid w:val="00B46262"/>
    <w:rsid w:val="00B47B2D"/>
    <w:rsid w:val="00B47D54"/>
    <w:rsid w:val="00B50457"/>
    <w:rsid w:val="00B514E5"/>
    <w:rsid w:val="00B60311"/>
    <w:rsid w:val="00B60DFE"/>
    <w:rsid w:val="00B62230"/>
    <w:rsid w:val="00B62731"/>
    <w:rsid w:val="00B64D2C"/>
    <w:rsid w:val="00B667B3"/>
    <w:rsid w:val="00B66F38"/>
    <w:rsid w:val="00B679F9"/>
    <w:rsid w:val="00B70B5C"/>
    <w:rsid w:val="00B7199A"/>
    <w:rsid w:val="00B72DAC"/>
    <w:rsid w:val="00B753D0"/>
    <w:rsid w:val="00B7684D"/>
    <w:rsid w:val="00B76C7C"/>
    <w:rsid w:val="00B82868"/>
    <w:rsid w:val="00B86DB6"/>
    <w:rsid w:val="00B87C55"/>
    <w:rsid w:val="00B87F3B"/>
    <w:rsid w:val="00B927A9"/>
    <w:rsid w:val="00B92F31"/>
    <w:rsid w:val="00B92F83"/>
    <w:rsid w:val="00B94DFB"/>
    <w:rsid w:val="00BA2667"/>
    <w:rsid w:val="00BA3BDE"/>
    <w:rsid w:val="00BB05A0"/>
    <w:rsid w:val="00BB08ED"/>
    <w:rsid w:val="00BB1213"/>
    <w:rsid w:val="00BB1FF3"/>
    <w:rsid w:val="00BB4250"/>
    <w:rsid w:val="00BB4AFF"/>
    <w:rsid w:val="00BC2BD4"/>
    <w:rsid w:val="00BC3970"/>
    <w:rsid w:val="00BC7CD9"/>
    <w:rsid w:val="00BD34D8"/>
    <w:rsid w:val="00BE3865"/>
    <w:rsid w:val="00BE43D1"/>
    <w:rsid w:val="00BE44F5"/>
    <w:rsid w:val="00BE5222"/>
    <w:rsid w:val="00BF3F80"/>
    <w:rsid w:val="00BF44C2"/>
    <w:rsid w:val="00BF6110"/>
    <w:rsid w:val="00BF6BD7"/>
    <w:rsid w:val="00C00BA2"/>
    <w:rsid w:val="00C00C41"/>
    <w:rsid w:val="00C01C8E"/>
    <w:rsid w:val="00C05DEE"/>
    <w:rsid w:val="00C1011E"/>
    <w:rsid w:val="00C1232D"/>
    <w:rsid w:val="00C14F4C"/>
    <w:rsid w:val="00C16ADF"/>
    <w:rsid w:val="00C21167"/>
    <w:rsid w:val="00C22B6F"/>
    <w:rsid w:val="00C27A84"/>
    <w:rsid w:val="00C314C2"/>
    <w:rsid w:val="00C36E44"/>
    <w:rsid w:val="00C37455"/>
    <w:rsid w:val="00C41C27"/>
    <w:rsid w:val="00C43056"/>
    <w:rsid w:val="00C52838"/>
    <w:rsid w:val="00C52AF8"/>
    <w:rsid w:val="00C559F7"/>
    <w:rsid w:val="00C60636"/>
    <w:rsid w:val="00C62A06"/>
    <w:rsid w:val="00C6676F"/>
    <w:rsid w:val="00C67ABE"/>
    <w:rsid w:val="00C72EFA"/>
    <w:rsid w:val="00C74503"/>
    <w:rsid w:val="00C80DB2"/>
    <w:rsid w:val="00C82103"/>
    <w:rsid w:val="00C822D1"/>
    <w:rsid w:val="00C87BDA"/>
    <w:rsid w:val="00C90627"/>
    <w:rsid w:val="00C90F71"/>
    <w:rsid w:val="00C91F1F"/>
    <w:rsid w:val="00C9452A"/>
    <w:rsid w:val="00C965E7"/>
    <w:rsid w:val="00CA30AE"/>
    <w:rsid w:val="00CA3DAC"/>
    <w:rsid w:val="00CA6273"/>
    <w:rsid w:val="00CA6D1C"/>
    <w:rsid w:val="00CB5DFC"/>
    <w:rsid w:val="00CB6922"/>
    <w:rsid w:val="00CB7A76"/>
    <w:rsid w:val="00CC165B"/>
    <w:rsid w:val="00CC25B3"/>
    <w:rsid w:val="00CC26EE"/>
    <w:rsid w:val="00CD0104"/>
    <w:rsid w:val="00CD2BB1"/>
    <w:rsid w:val="00CD5672"/>
    <w:rsid w:val="00CD5DA2"/>
    <w:rsid w:val="00CD637B"/>
    <w:rsid w:val="00CD63BD"/>
    <w:rsid w:val="00CD7367"/>
    <w:rsid w:val="00CE0CDB"/>
    <w:rsid w:val="00CE182B"/>
    <w:rsid w:val="00CE4B0A"/>
    <w:rsid w:val="00CE5BBA"/>
    <w:rsid w:val="00CE63E6"/>
    <w:rsid w:val="00CE7ED1"/>
    <w:rsid w:val="00CF0F1D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11500"/>
    <w:rsid w:val="00D12048"/>
    <w:rsid w:val="00D27190"/>
    <w:rsid w:val="00D2731F"/>
    <w:rsid w:val="00D302E1"/>
    <w:rsid w:val="00D31358"/>
    <w:rsid w:val="00D43D36"/>
    <w:rsid w:val="00D445B5"/>
    <w:rsid w:val="00D459A5"/>
    <w:rsid w:val="00D46126"/>
    <w:rsid w:val="00D47507"/>
    <w:rsid w:val="00D50F79"/>
    <w:rsid w:val="00D54AE4"/>
    <w:rsid w:val="00D55D98"/>
    <w:rsid w:val="00D57702"/>
    <w:rsid w:val="00D6139F"/>
    <w:rsid w:val="00D61A2C"/>
    <w:rsid w:val="00D6204C"/>
    <w:rsid w:val="00D66F90"/>
    <w:rsid w:val="00D6710E"/>
    <w:rsid w:val="00D67D05"/>
    <w:rsid w:val="00D7052E"/>
    <w:rsid w:val="00D720B5"/>
    <w:rsid w:val="00D74B29"/>
    <w:rsid w:val="00D86959"/>
    <w:rsid w:val="00D86D7D"/>
    <w:rsid w:val="00D90221"/>
    <w:rsid w:val="00D92D61"/>
    <w:rsid w:val="00D9328F"/>
    <w:rsid w:val="00DA1546"/>
    <w:rsid w:val="00DA1BFD"/>
    <w:rsid w:val="00DA1D4C"/>
    <w:rsid w:val="00DA4D3F"/>
    <w:rsid w:val="00DA51D6"/>
    <w:rsid w:val="00DA5E31"/>
    <w:rsid w:val="00DB09B0"/>
    <w:rsid w:val="00DB4240"/>
    <w:rsid w:val="00DB7B85"/>
    <w:rsid w:val="00DC35D9"/>
    <w:rsid w:val="00DC3F52"/>
    <w:rsid w:val="00DC42ED"/>
    <w:rsid w:val="00DC4591"/>
    <w:rsid w:val="00DC4C2B"/>
    <w:rsid w:val="00DC5C7C"/>
    <w:rsid w:val="00DD0B67"/>
    <w:rsid w:val="00DD0F38"/>
    <w:rsid w:val="00DD1E0A"/>
    <w:rsid w:val="00DD2F1F"/>
    <w:rsid w:val="00DD32E3"/>
    <w:rsid w:val="00DD5454"/>
    <w:rsid w:val="00DD7623"/>
    <w:rsid w:val="00DE3584"/>
    <w:rsid w:val="00DE4D1F"/>
    <w:rsid w:val="00DE7416"/>
    <w:rsid w:val="00DE7FAD"/>
    <w:rsid w:val="00DF3C30"/>
    <w:rsid w:val="00DF3E73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211E0"/>
    <w:rsid w:val="00E27462"/>
    <w:rsid w:val="00E30B3E"/>
    <w:rsid w:val="00E31E21"/>
    <w:rsid w:val="00E32FA6"/>
    <w:rsid w:val="00E35B7B"/>
    <w:rsid w:val="00E37EDD"/>
    <w:rsid w:val="00E41944"/>
    <w:rsid w:val="00E41BAD"/>
    <w:rsid w:val="00E451C3"/>
    <w:rsid w:val="00E4787D"/>
    <w:rsid w:val="00E502F2"/>
    <w:rsid w:val="00E54078"/>
    <w:rsid w:val="00E546F0"/>
    <w:rsid w:val="00E547A9"/>
    <w:rsid w:val="00E553A8"/>
    <w:rsid w:val="00E600C3"/>
    <w:rsid w:val="00E71571"/>
    <w:rsid w:val="00E71E4D"/>
    <w:rsid w:val="00E72A40"/>
    <w:rsid w:val="00E73A0F"/>
    <w:rsid w:val="00E775F6"/>
    <w:rsid w:val="00E806F5"/>
    <w:rsid w:val="00E92B62"/>
    <w:rsid w:val="00E93897"/>
    <w:rsid w:val="00E9491E"/>
    <w:rsid w:val="00EA0BF1"/>
    <w:rsid w:val="00EA0DEE"/>
    <w:rsid w:val="00EA2BE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894"/>
    <w:rsid w:val="00ED1089"/>
    <w:rsid w:val="00ED1FA4"/>
    <w:rsid w:val="00ED2B6A"/>
    <w:rsid w:val="00ED3778"/>
    <w:rsid w:val="00ED6BA9"/>
    <w:rsid w:val="00ED703C"/>
    <w:rsid w:val="00EE299F"/>
    <w:rsid w:val="00EE422E"/>
    <w:rsid w:val="00EE4510"/>
    <w:rsid w:val="00EE4D53"/>
    <w:rsid w:val="00EF1ECD"/>
    <w:rsid w:val="00EF28C2"/>
    <w:rsid w:val="00EF41F3"/>
    <w:rsid w:val="00EF54D6"/>
    <w:rsid w:val="00EF6A97"/>
    <w:rsid w:val="00EF7D8E"/>
    <w:rsid w:val="00F0311B"/>
    <w:rsid w:val="00F05EAB"/>
    <w:rsid w:val="00F0700B"/>
    <w:rsid w:val="00F1102C"/>
    <w:rsid w:val="00F12367"/>
    <w:rsid w:val="00F13831"/>
    <w:rsid w:val="00F1773A"/>
    <w:rsid w:val="00F228A6"/>
    <w:rsid w:val="00F228CF"/>
    <w:rsid w:val="00F25AD1"/>
    <w:rsid w:val="00F26453"/>
    <w:rsid w:val="00F4059B"/>
    <w:rsid w:val="00F42A09"/>
    <w:rsid w:val="00F45027"/>
    <w:rsid w:val="00F470F9"/>
    <w:rsid w:val="00F475A6"/>
    <w:rsid w:val="00F5048B"/>
    <w:rsid w:val="00F508CF"/>
    <w:rsid w:val="00F53462"/>
    <w:rsid w:val="00F57E18"/>
    <w:rsid w:val="00F63B39"/>
    <w:rsid w:val="00F66F94"/>
    <w:rsid w:val="00F66FCB"/>
    <w:rsid w:val="00F71DB7"/>
    <w:rsid w:val="00F765C9"/>
    <w:rsid w:val="00F769A3"/>
    <w:rsid w:val="00F82E91"/>
    <w:rsid w:val="00F83D13"/>
    <w:rsid w:val="00F83E5E"/>
    <w:rsid w:val="00F871ED"/>
    <w:rsid w:val="00F876E7"/>
    <w:rsid w:val="00F91F76"/>
    <w:rsid w:val="00F9277B"/>
    <w:rsid w:val="00F95C8E"/>
    <w:rsid w:val="00F97DE7"/>
    <w:rsid w:val="00FA43A0"/>
    <w:rsid w:val="00FB058B"/>
    <w:rsid w:val="00FB1285"/>
    <w:rsid w:val="00FB3719"/>
    <w:rsid w:val="00FB4943"/>
    <w:rsid w:val="00FB5F71"/>
    <w:rsid w:val="00FB6218"/>
    <w:rsid w:val="00FB6376"/>
    <w:rsid w:val="00FC08EC"/>
    <w:rsid w:val="00FC256B"/>
    <w:rsid w:val="00FC2E0F"/>
    <w:rsid w:val="00FC365A"/>
    <w:rsid w:val="00FD0D2D"/>
    <w:rsid w:val="00FE2101"/>
    <w:rsid w:val="00FE625E"/>
    <w:rsid w:val="00FE7CB0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4" type="connector" idref="#_x0000_s1071"/>
        <o:r id="V:Rule5" type="connector" idref="#_x0000_s1072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D948-5D91-4724-A084-B543099BF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18</cp:revision>
  <cp:lastPrinted>2015-07-15T09:28:00Z</cp:lastPrinted>
  <dcterms:created xsi:type="dcterms:W3CDTF">2015-07-14T13:35:00Z</dcterms:created>
  <dcterms:modified xsi:type="dcterms:W3CDTF">2015-07-20T13:29:00Z</dcterms:modified>
</cp:coreProperties>
</file>