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>
        <w:rPr/>
        <w:drawing>
          <wp:inline distT="0" distB="0" distL="0" distR="0">
            <wp:extent cx="1143000" cy="109537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5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t xml:space="preserve">  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W1-2-60-1-6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</w:t>
      </w:r>
      <w:r>
        <w:rPr>
          <w:rFonts w:ascii="Bookman Old Style" w:hAnsi="Bookman Old Style"/>
          <w:sz w:val="28"/>
          <w:szCs w:val="28"/>
        </w:rPr>
        <w:t xml:space="preserve">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</w:t>
      </w:r>
      <w:r>
        <w:rPr>
          <w:rFonts w:ascii="Bookman Old Style" w:cs="Tahoma" w:hAnsi="Bookman Old Style"/>
          <w:sz w:val="28"/>
        </w:rPr>
        <w:t>5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</w:t>
      </w:r>
      <w:r>
        <w:rPr>
          <w:rFonts w:ascii="Bookman Old Style" w:cs="Tahoma" w:hAnsi="Bookman Old Style"/>
          <w:sz w:val="28"/>
        </w:rPr>
        <w:t>6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 xml:space="preserve">DEGREE OF BACHELOR OF </w:t>
      </w:r>
      <w:r>
        <w:rPr>
          <w:rFonts w:ascii="Bookman Old Style" w:hAnsi="Bookman Old Style"/>
          <w:b/>
          <w:bCs/>
          <w:sz w:val="24"/>
        </w:rPr>
        <w:t>COMMERCE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HBA 2301: FINANCIAL REPORTING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</w:t>
      </w:r>
      <w:r>
        <w:rPr>
          <w:rFonts w:ascii="Bookman Old Style" w:hAnsi="Bookman Old Style"/>
          <w:b/>
          <w:bCs/>
        </w:rPr>
        <w:t xml:space="preserve">APRIL  </w:t>
      </w:r>
      <w:r>
        <w:rPr>
          <w:rFonts w:ascii="Bookman Old Style" w:hAnsi="Bookman Old Style"/>
          <w:b/>
          <w:bCs/>
        </w:rPr>
        <w:t>2015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  <w:b/>
          <w:bCs/>
        </w:rPr>
        <w:t xml:space="preserve">                            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  ANSWER </w:t>
      </w:r>
      <w:r>
        <w:rPr>
          <w:rFonts w:ascii="Bookman Old Style" w:hAnsi="Bookman Old Style"/>
          <w:b/>
          <w:bCs/>
        </w:rPr>
        <w:t xml:space="preserve">QUESTION ONE (COMPULSORY) AND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ANY OTHER TWO QUESTIONS.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 five uses of financial statements.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Financial information for Safaricom Company Ltd as at December 31,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2006 is based on the following information: Cash Shs.300,000, patents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and copyright Shs.775,000, Account Payable Shs.700,000, Account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receivable Shs.150,000, tangible net fixed assets Shs.3,500,000,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Inventory Shs.425,000, Notes payable Shs.145,000, Accumulated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retained earnings Shs.2,150,000 and Longterm debt Shs.1,300,000.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Prepare a balance sheet for Safaricom Company Ltd.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Estimate the owner’s equity.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 Kenya which body is mandated in administering financial reporting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and accounting standards reporting.  What are its major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functions?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Briefly explain how inflation or changing prices affect financial reports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(statements) in two principal ways.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Briefly explain the objectives of using liquidity ratios and market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profitability ratios in financial ratio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 five uses of financial ratios.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balance sheet and income statement for Kengen Company Ltd in given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below</w:t>
      </w:r>
      <w:r>
        <w:rPr>
          <w:rFonts w:ascii="Bookman Old Style" w:hAnsi="Bookman Old Style"/>
        </w:rPr>
        <w:t>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KENGEN CORPORATION LTD</w:t>
      </w: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BALANCE SHEET</w:t>
      </w: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AS AT 31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2000</w:t>
      </w:r>
    </w:p>
    <w:p>
      <w:pPr>
        <w:pStyle w:val="style0"/>
        <w:jc w:val="both"/>
        <w:rPr>
          <w:rFonts w:ascii="Bookman Old Style" w:hAnsi="Bookman Old Sty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438"/>
        <w:gridCol w:w="1350"/>
        <w:gridCol w:w="3600"/>
        <w:gridCol w:w="1188"/>
      </w:tblGrid>
      <w:tr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ASSETS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USD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LIABILITIES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USD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Current assets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Current liabilities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Notes payable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 receivable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Account payable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1,040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Inventory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1,180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Fixed assets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Long –term liabilities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equipments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5,350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Long -term Debt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2,080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Common stock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earnings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2,440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assets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4,820</w:t>
            </w:r>
          </w:p>
        </w:tc>
      </w:tr>
      <w:tr>
        <w:tblPrEx/>
        <w:trPr/>
        <w:tc>
          <w:tcPr>
            <w:tcW w:w="34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Liabilities</w:t>
            </w:r>
          </w:p>
        </w:tc>
        <w:tc>
          <w:tcPr>
            <w:tcW w:w="118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</w:tr>
    </w:tbl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KENGEN CORPORATION LTD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INCOME STATEMENT AS AT 31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2000</w:t>
      </w:r>
    </w:p>
    <w:p>
      <w:pPr>
        <w:pStyle w:val="style0"/>
        <w:jc w:val="both"/>
        <w:rPr>
          <w:rFonts w:ascii="Bookman Old Style" w:hAnsi="Bookman Old Sty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Revenues (Sales)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3,750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Expenses (Cost of goods)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(2,450)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Depreciation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(490)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EBIT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810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Interest </w:t>
            </w:r>
            <w:r>
              <w:rPr>
                <w:rFonts w:ascii="Bookman Old Style" w:hAnsi="Bookman Old Style"/>
              </w:rPr>
              <w:t>Payments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(610)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Taxes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(70)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 income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Dividends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(40)</w:t>
            </w:r>
          </w:p>
        </w:tc>
      </w:tr>
      <w:tr>
        <w:tblPrEx/>
        <w:trPr/>
        <w:tc>
          <w:tcPr>
            <w:tcW w:w="79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earnings</w:t>
            </w:r>
          </w:p>
        </w:tc>
        <w:tc>
          <w:tcPr>
            <w:tcW w:w="1638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</w:tr>
    </w:tbl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REQUIRED:</w:t>
      </w: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ased on the information given form the balance sheet and income statement, calculate the following financial ratios.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Current ratio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Total debt ratio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Earnings per share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Dividend per share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Profit margin in ratio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Atlantic Corporation is a domestic company ltd also a US Parent Company, establishes a foreign subsidiary in the UK by investing $200 on January 1, year 1, in return for all of the subsidiary’s common stock.  The US dollar and UK pound exchange at the rate of $2: £1 on this date.  The subsidiary engages in the following transactions during year 1.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Acquires property, plant and equipment on January 2, year 1, costing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£</w:t>
      </w:r>
      <w:r>
        <w:rPr>
          <w:rFonts w:ascii="Bookman Old Style" w:hAnsi="Bookman Old Style"/>
        </w:rPr>
        <w:t xml:space="preserve">400.  It finances the acquisition with £350 of longterm debt and £50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cash. 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Acquires inventory on account totaling £750.  The subsidiary uses 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weighted average cost flow assumption.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Sells on account for £900 and inventory costing for £600.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Pays selling and administrative expenses of £70, interest expenses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£40, and income tax expenses of £30.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Recognizes £40 as depreciation expenses.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Pays no dividends to the US Parent Company.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The average exchange rate during year I was $2.1: £</w:t>
      </w:r>
      <w:r>
        <w:rPr>
          <w:rFonts w:ascii="Bookman Old Style" w:hAnsi="Bookman Old Style"/>
        </w:rPr>
        <w:t xml:space="preserve">1, and the exchange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rate on December 31, year 1, is $2.2:£1.  The increase in the number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US dollar required to purchase one UK Pound means that the US dollar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declined in value relative to the UK Pound</w:t>
      </w:r>
      <w:r>
        <w:rPr>
          <w:rFonts w:ascii="Bookman Old Style" w:hAnsi="Bookman Old Style"/>
        </w:rPr>
        <w:t>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All-current translation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Monetary – non monetary translation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Briefly explain how assets valued using each of the following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measurement methods: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Historical cost accounting (HCA)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Current Cost Accounting (CCA)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Given the balance sheet below: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CONVENTIONAL BALANCE SHEET AS AT 31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1988</w:t>
      </w:r>
    </w:p>
    <w:p>
      <w:pPr>
        <w:pStyle w:val="style0"/>
        <w:jc w:val="both"/>
        <w:rPr>
          <w:rFonts w:ascii="Bookman Old Style" w:hAnsi="Bookman Old Sty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1224"/>
        <w:gridCol w:w="3564"/>
        <w:gridCol w:w="2394"/>
      </w:tblGrid>
      <w:tr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ASSETS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USD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LIABILITIES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USD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Monetary assets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Liabilities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Inventory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 stock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Shares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earnings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Depreciable assets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Land 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assets</w:t>
            </w:r>
          </w:p>
        </w:tc>
        <w:tc>
          <w:tcPr>
            <w:tcW w:w="122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770</w:t>
            </w:r>
          </w:p>
        </w:tc>
        <w:tc>
          <w:tcPr>
            <w:tcW w:w="356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liabilities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770</w:t>
            </w:r>
          </w:p>
        </w:tc>
      </w:tr>
    </w:tbl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However, other data provided is given below: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Given 20% inflation during 1989.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During 1989 the company neither invested nor disposed of shares 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fixed assets also no equity additions or withdrawals occurred.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Therefore the recorded nominal value of the shares, land and capital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stock did not change during the year.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The acquisition cost of the recorded value of the depreciable assets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declined only by the nominal depreciation of $100.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The retained earnings increased by $50 as determined by the convention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income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The entire items in the statement are recorded at historical values.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REQUIRED: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balance sheet as at 31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1989 sharing </w:t>
      </w:r>
      <w:r>
        <w:rPr>
          <w:rFonts w:ascii="Bookman Old Style" w:hAnsi="Bookman Old Style"/>
        </w:rPr>
        <w:t>current list accounting.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>
      <w:pPr>
        <w:pStyle w:val="style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>
      <w:pPr>
        <w:pStyle w:val="style0"/>
        <w:jc w:val="both"/>
        <w:rPr>
          <w:rFonts w:ascii="Bookman Old Style" w:hAnsi="Bookman Old Style"/>
        </w:rPr>
      </w:pPr>
    </w:p>
    <w:sectPr>
      <w:footerReference w:type="even" r:id="rId3"/>
      <w:footerReference w:type="default" r:id="rId4"/>
      <w:pgSz w:w="12240" w:h="15840" w:orient="portrait"/>
      <w:pgMar w:top="63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4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cced661-ed11-43ad-b457-cd9e2be548f6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</w:rPr>
  </w:style>
  <w:style w:type="character" w:customStyle="1" w:styleId="style4098">
    <w:name w:val="Heading 2 Char_4e3f1a5d-d11c-46d0-9f27-c504c50b8866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Footer Char_1a2cc016-8542-440c-b435-575fdb94aec3"/>
    <w:basedOn w:val="style65"/>
    <w:next w:val="style4100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752</Words>
  <Characters>4141</Characters>
  <Application>WPS Office</Application>
  <DocSecurity>0</DocSecurity>
  <Paragraphs>255</Paragraphs>
  <ScaleCrop>false</ScaleCrop>
  <LinksUpToDate>false</LinksUpToDate>
  <CharactersWithSpaces>4941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2015-04-08T10:37:00Z</dcterms:created>
  <dc:creator>user</dc:creator>
  <lastModifiedBy>TECNO-W5</lastModifiedBy>
  <dcterms:modified xsi:type="dcterms:W3CDTF">2019-03-26T20:40:05Z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