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/>
      </w:pPr>
      <w:r>
        <w:rPr>
          <w:noProof/>
          <w:szCs w:val="24"/>
          <w:lang w:val="en-US"/>
        </w:rPr>
        <w:drawing>
          <wp:inline distL="0" distT="0" distB="0" distR="0">
            <wp:extent cx="1085215" cy="1016635"/>
            <wp:effectExtent l="19050" t="0" r="635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85215" cy="10166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240" w:after="12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KENYA MEDICAL TRAINING COLLEGE</w:t>
      </w:r>
    </w:p>
    <w:p>
      <w:pPr>
        <w:pStyle w:val="style0"/>
        <w:spacing w:after="120"/>
        <w:jc w:val="center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Faculty of Public Health Sciences</w:t>
      </w:r>
    </w:p>
    <w:p>
      <w:pPr>
        <w:pStyle w:val="style0"/>
        <w:spacing w:after="120"/>
        <w:jc w:val="center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Department of Nutrition</w:t>
      </w:r>
    </w:p>
    <w:p>
      <w:pPr>
        <w:pStyle w:val="style0"/>
        <w:jc w:val="center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Diploma </w:t>
      </w:r>
      <w:r>
        <w:rPr>
          <w:rFonts w:ascii="Bradley Hand ITC" w:hAnsi="Bradley Hand ITC"/>
          <w:b/>
          <w:sz w:val="32"/>
          <w:szCs w:val="32"/>
        </w:rPr>
        <w:t>in Community Nutrition</w:t>
      </w:r>
    </w:p>
    <w:p>
      <w:pPr>
        <w:pStyle w:val="style0"/>
        <w:tabs>
          <w:tab w:val="left" w:leader="none" w:pos="2610"/>
          <w:tab w:val="left" w:leader="none" w:pos="861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>
      <w:pPr>
        <w:pStyle w:val="style0"/>
        <w:spacing w:after="0" w:lineRule="auto" w:line="36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FINAL QUALIFYING EXAMINATION</w:t>
      </w:r>
    </w:p>
    <w:p>
      <w:pPr>
        <w:pStyle w:val="style0"/>
        <w:tabs>
          <w:tab w:val="left" w:leader="none" w:pos="1800"/>
        </w:tabs>
        <w:spacing w:after="0" w:lineRule="auto" w:line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COURSE: </w:t>
      </w:r>
      <w:r>
        <w:rPr>
          <w:rFonts w:ascii="Times New Roman" w:hAnsi="Times New Roman"/>
          <w:b/>
          <w:sz w:val="32"/>
          <w:szCs w:val="32"/>
        </w:rPr>
        <w:t>NUTRITION SURVEILLANCE</w:t>
      </w:r>
    </w:p>
    <w:p>
      <w:pPr>
        <w:pStyle w:val="style0"/>
        <w:tabs>
          <w:tab w:val="left" w:leader="none" w:pos="1800"/>
        </w:tabs>
        <w:spacing w:after="0" w:lineRule="auto" w:line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DATE: 1</w:t>
      </w:r>
      <w:r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TH JULY 2</w:t>
      </w:r>
      <w:r>
        <w:rPr>
          <w:rFonts w:hAnsi="Times New Roman"/>
          <w:b/>
          <w:sz w:val="32"/>
          <w:szCs w:val="32"/>
          <w:lang w:val="en-US"/>
        </w:rPr>
        <w:t>019</w:t>
      </w:r>
    </w:p>
    <w:p>
      <w:pPr>
        <w:pStyle w:val="style0"/>
        <w:tabs>
          <w:tab w:val="left" w:leader="none" w:pos="1800"/>
        </w:tabs>
        <w:spacing w:after="0" w:lineRule="auto" w:line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TIME: </w:t>
      </w:r>
      <w:r>
        <w:rPr>
          <w:rFonts w:ascii="Times New Roman" w:hAnsi="Times New Roman"/>
          <w:b/>
          <w:sz w:val="32"/>
          <w:szCs w:val="32"/>
        </w:rPr>
        <w:t>2</w:t>
      </w:r>
      <w:r>
        <w:rPr>
          <w:rFonts w:ascii="Arial Narrow" w:cs="Times New Roman" w:hAnsi="Arial Narrow"/>
          <w:b/>
          <w:sz w:val="32"/>
          <w:szCs w:val="32"/>
        </w:rPr>
        <w:t>½</w:t>
      </w:r>
      <w:r>
        <w:rPr>
          <w:rFonts w:ascii="Arial Narrow" w:cs="Times New Roman" w:hAnsi="Arial Narrow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Hours</w:t>
      </w:r>
    </w:p>
    <w:p>
      <w:pPr>
        <w:pStyle w:val="style0"/>
        <w:spacing w:after="0"/>
        <w:ind w:left="27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Instructions</w:t>
      </w:r>
    </w:p>
    <w:p>
      <w:pPr>
        <w:pStyle w:val="style179"/>
        <w:numPr>
          <w:ilvl w:val="0"/>
          <w:numId w:val="1"/>
        </w:numPr>
        <w:spacing w:after="0" w:lineRule="auto" w:line="312"/>
        <w:ind w:left="720" w:hanging="446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Write your examination number on the space provided on the answer booklet.</w:t>
      </w:r>
    </w:p>
    <w:p>
      <w:pPr>
        <w:pStyle w:val="style179"/>
        <w:numPr>
          <w:ilvl w:val="0"/>
          <w:numId w:val="1"/>
        </w:numPr>
        <w:spacing w:after="0" w:lineRule="auto" w:line="312"/>
        <w:ind w:left="720" w:hanging="446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Attempt ALL questions.</w:t>
      </w:r>
    </w:p>
    <w:p>
      <w:pPr>
        <w:pStyle w:val="style179"/>
        <w:numPr>
          <w:ilvl w:val="0"/>
          <w:numId w:val="1"/>
        </w:numPr>
        <w:spacing w:after="0" w:lineRule="auto" w:line="312"/>
        <w:ind w:left="720" w:hanging="446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Answer EACH question on a SEPERATE sheet of paper.</w:t>
      </w:r>
    </w:p>
    <w:p>
      <w:pPr>
        <w:pStyle w:val="style179"/>
        <w:numPr>
          <w:ilvl w:val="0"/>
          <w:numId w:val="1"/>
        </w:numPr>
        <w:spacing w:after="0" w:lineRule="auto" w:line="312"/>
        <w:ind w:left="720" w:hanging="446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Use both sides of the answer sheets provided.</w:t>
      </w:r>
    </w:p>
    <w:p>
      <w:pPr>
        <w:pStyle w:val="style179"/>
        <w:numPr>
          <w:ilvl w:val="0"/>
          <w:numId w:val="1"/>
        </w:numPr>
        <w:spacing w:after="0" w:lineRule="auto" w:line="312"/>
        <w:ind w:left="720" w:hanging="446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Number ALL questions CORRECTLY.</w:t>
      </w:r>
    </w:p>
    <w:p>
      <w:pPr>
        <w:pStyle w:val="style179"/>
        <w:numPr>
          <w:ilvl w:val="0"/>
          <w:numId w:val="1"/>
        </w:numPr>
        <w:spacing w:after="0" w:lineRule="auto" w:line="312"/>
        <w:ind w:left="720" w:hanging="446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 not use a pencil except for drawings/illustrations.</w:t>
      </w:r>
    </w:p>
    <w:p>
      <w:pPr>
        <w:pStyle w:val="style179"/>
        <w:numPr>
          <w:ilvl w:val="0"/>
          <w:numId w:val="1"/>
        </w:numPr>
        <w:spacing w:after="0" w:lineRule="auto" w:line="312"/>
        <w:ind w:left="720" w:hanging="446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Use legible writings.</w:t>
      </w:r>
    </w:p>
    <w:p>
      <w:pPr>
        <w:pStyle w:val="style179"/>
        <w:numPr>
          <w:ilvl w:val="0"/>
          <w:numId w:val="1"/>
        </w:numPr>
        <w:spacing w:after="0" w:lineRule="auto" w:line="312"/>
        <w:ind w:left="720" w:hanging="446"/>
        <w:contextualSpacing w:val="fals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Read carefully instructions on the answer booklet provided.</w:t>
      </w:r>
    </w:p>
    <w:p>
      <w:pPr>
        <w:pStyle w:val="style179"/>
        <w:numPr>
          <w:ilvl w:val="0"/>
          <w:numId w:val="1"/>
        </w:numPr>
        <w:spacing w:lineRule="auto" w:line="360"/>
        <w:ind w:left="720" w:hanging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 NOT pluck any paper from the answer booklet</w:t>
      </w:r>
    </w:p>
    <w:p>
      <w:pPr>
        <w:pStyle w:val="style0"/>
        <w:rPr>
          <w:b/>
        </w:rPr>
        <w:sectPr>
          <w:headerReference w:type="default" r:id="rId3"/>
          <w:pgSz w:w="12240" w:h="15840" w:orient="portrait"/>
          <w:pgMar w:top="1440" w:right="1440" w:bottom="1440" w:left="1440" w:header="720" w:footer="720" w:gutter="0"/>
          <w:pgBorders w:zOrder="front"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PART I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: MULTIPLE CHOICE QUESTIONS (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20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MARKS)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following are indicators of nutrition status. Which one is not?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Food production patterns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Infectious disease rates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Maternal religion</w:t>
      </w:r>
    </w:p>
    <w:p>
      <w:pPr>
        <w:pStyle w:val="style179"/>
        <w:numPr>
          <w:ilvl w:val="1"/>
          <w:numId w:val="2"/>
        </w:numPr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Employment levels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 which level do the immediate causes of malnutrition have their effect?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Individual level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Household level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 level</w:t>
      </w:r>
    </w:p>
    <w:p>
      <w:pPr>
        <w:pStyle w:val="style179"/>
        <w:numPr>
          <w:ilvl w:val="1"/>
          <w:numId w:val="2"/>
        </w:numPr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Society level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following are risks factors of protein energy malnutrition except?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Disease outbreak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Poor hygiene</w:t>
      </w:r>
    </w:p>
    <w:p>
      <w:pPr>
        <w:pStyle w:val="style179"/>
        <w:numPr>
          <w:ilvl w:val="1"/>
          <w:numId w:val="2"/>
        </w:numPr>
        <w:spacing w:after="0"/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Inadequate dietary intake of Iron</w:t>
      </w:r>
    </w:p>
    <w:p>
      <w:pPr>
        <w:pStyle w:val="style179"/>
        <w:numPr>
          <w:ilvl w:val="1"/>
          <w:numId w:val="2"/>
        </w:numPr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Maternal education status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following are environmental </w:t>
      </w:r>
      <w:r>
        <w:rPr>
          <w:rFonts w:ascii="Times New Roman" w:cs="Times New Roman" w:hAnsi="Times New Roman"/>
          <w:sz w:val="24"/>
          <w:szCs w:val="24"/>
        </w:rPr>
        <w:t>factors affecting nutrition status except: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occupation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Geographical area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Hereditary</w:t>
      </w:r>
    </w:p>
    <w:p>
      <w:pPr>
        <w:pStyle w:val="style179"/>
        <w:numPr>
          <w:ilvl w:val="1"/>
          <w:numId w:val="2"/>
        </w:numPr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Pregnancy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Which one of the following is a quantitative method of data collection?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Case study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Unstructured interview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Observation</w:t>
      </w:r>
    </w:p>
    <w:p>
      <w:pPr>
        <w:pStyle w:val="style179"/>
        <w:numPr>
          <w:ilvl w:val="1"/>
          <w:numId w:val="2"/>
        </w:numPr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Anthropometric measurements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Households cope with food insecurity in the following ways: 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Selling of food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Buying of new clothes 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Migration </w:t>
      </w:r>
    </w:p>
    <w:p>
      <w:pPr>
        <w:pStyle w:val="style179"/>
        <w:numPr>
          <w:ilvl w:val="1"/>
          <w:numId w:val="2"/>
        </w:numPr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Sale of livestock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Indicate which one of the following nutritional problems affects children in the highest percentage nationally 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Kwashiorkor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Marasmic</w:t>
      </w:r>
      <w:r>
        <w:rPr>
          <w:rFonts w:ascii="Times New Roman" w:cs="Times New Roman" w:hAnsi="Times New Roman"/>
          <w:sz w:val="24"/>
          <w:szCs w:val="24"/>
        </w:rPr>
        <w:t xml:space="preserve"> kwashiorkor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Marasmus</w:t>
      </w:r>
    </w:p>
    <w:p>
      <w:pPr>
        <w:pStyle w:val="style179"/>
        <w:numPr>
          <w:ilvl w:val="1"/>
          <w:numId w:val="2"/>
        </w:numPr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Anaemia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Which term best describes growth failure?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Thinness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Stunting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Low birth weight</w:t>
      </w:r>
    </w:p>
    <w:p>
      <w:pPr>
        <w:pStyle w:val="style179"/>
        <w:numPr>
          <w:ilvl w:val="1"/>
          <w:numId w:val="2"/>
        </w:numPr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Kwashiorkor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following are factors affecting child growth except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Genetics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Nutrition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Culture</w:t>
      </w:r>
    </w:p>
    <w:p>
      <w:pPr>
        <w:pStyle w:val="style179"/>
        <w:numPr>
          <w:ilvl w:val="1"/>
          <w:numId w:val="2"/>
        </w:numPr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Health state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Which one of the following best identifies acute malnutrition in children?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Underweight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Wasting 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Biochemical markers</w:t>
      </w:r>
    </w:p>
    <w:p>
      <w:pPr>
        <w:pStyle w:val="style179"/>
        <w:numPr>
          <w:ilvl w:val="1"/>
          <w:numId w:val="2"/>
        </w:numPr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Stunting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following are open ended questions except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Why did you stop breastfeeding your child?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is the importance of immunization in children?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Do you wash your hands before preparing meals?</w:t>
      </w:r>
    </w:p>
    <w:p>
      <w:pPr>
        <w:pStyle w:val="style179"/>
        <w:numPr>
          <w:ilvl w:val="1"/>
          <w:numId w:val="2"/>
        </w:numPr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is your opinion about nutrition education in Kenya?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Identify the variable which is not qualitative 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reasons for starting complementary feeding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Type of infection in children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length of an infant</w:t>
      </w:r>
    </w:p>
    <w:p>
      <w:pPr>
        <w:pStyle w:val="style179"/>
        <w:numPr>
          <w:ilvl w:val="1"/>
          <w:numId w:val="2"/>
        </w:numPr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Day of breastfeeding cessation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Which one of the following is not true about failure to thrive?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It is always the result of inadequate food intake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It is only restricted to children who are 6 months old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Failure to thrive when weight for age of the child is above 80% of the median</w:t>
      </w:r>
    </w:p>
    <w:p>
      <w:pPr>
        <w:pStyle w:val="style179"/>
        <w:numPr>
          <w:ilvl w:val="1"/>
          <w:numId w:val="2"/>
        </w:numPr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All the above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a survey of diarrhoea in a sample of households each household is visited monthly and asked to report all cases of diarrhoea that have occurred during the previous month.  This method of study is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Cross-sectional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Experimental</w:t>
      </w:r>
    </w:p>
    <w:p>
      <w:pPr>
        <w:pStyle w:val="style179"/>
        <w:numPr>
          <w:ilvl w:val="1"/>
          <w:numId w:val="2"/>
        </w:numPr>
        <w:ind w:left="99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Retrospective</w:t>
      </w:r>
    </w:p>
    <w:p>
      <w:pPr>
        <w:pStyle w:val="style179"/>
        <w:numPr>
          <w:ilvl w:val="1"/>
          <w:numId w:val="2"/>
        </w:numPr>
        <w:ind w:left="994" w:hanging="274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Longitu</w:t>
      </w:r>
      <w:r>
        <w:rPr>
          <w:rFonts w:ascii="Times New Roman" w:cs="Times New Roman" w:hAnsi="Times New Roman"/>
          <w:sz w:val="24"/>
          <w:szCs w:val="24"/>
        </w:rPr>
        <w:t>dinal</w:t>
      </w:r>
    </w:p>
    <w:p>
      <w:pPr>
        <w:pStyle w:val="style179"/>
        <w:numPr>
          <w:ilvl w:val="0"/>
          <w:numId w:val="2"/>
        </w:numPr>
        <w:spacing w:lineRule="auto" w:line="36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Use t</w:t>
      </w:r>
      <w:r>
        <w:rPr>
          <w:rFonts w:ascii="Times New Roman" w:cs="Times New Roman" w:hAnsi="Times New Roman"/>
          <w:sz w:val="24"/>
          <w:szCs w:val="24"/>
        </w:rPr>
        <w:t>he terms below</w:t>
      </w:r>
      <w:r>
        <w:rPr>
          <w:rFonts w:ascii="Times New Roman" w:cs="Times New Roman" w:hAnsi="Times New Roman"/>
          <w:sz w:val="24"/>
          <w:szCs w:val="24"/>
        </w:rPr>
        <w:t xml:space="preserve"> to</w:t>
      </w:r>
      <w:r>
        <w:rPr>
          <w:rFonts w:ascii="Times New Roman" w:cs="Times New Roman" w:hAnsi="Times New Roman"/>
          <w:sz w:val="24"/>
          <w:szCs w:val="24"/>
        </w:rPr>
        <w:t xml:space="preserve"> match with the nutrition indicators in the </w:t>
      </w:r>
      <w:r>
        <w:rPr>
          <w:rFonts w:ascii="Times New Roman" w:cs="Times New Roman" w:hAnsi="Times New Roman"/>
          <w:sz w:val="24"/>
          <w:szCs w:val="24"/>
        </w:rPr>
        <w:t>table here under:-</w:t>
      </w:r>
    </w:p>
    <w:p>
      <w:pPr>
        <w:pStyle w:val="style179"/>
        <w:numPr>
          <w:ilvl w:val="0"/>
          <w:numId w:val="3"/>
        </w:numPr>
        <w:spacing w:lineRule="auto" w:line="360"/>
        <w:ind w:left="81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Moderate wasting</w:t>
      </w:r>
    </w:p>
    <w:p>
      <w:pPr>
        <w:pStyle w:val="style179"/>
        <w:numPr>
          <w:ilvl w:val="0"/>
          <w:numId w:val="3"/>
        </w:numPr>
        <w:spacing w:lineRule="auto" w:line="360"/>
        <w:ind w:left="81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Severe wasting</w:t>
      </w:r>
    </w:p>
    <w:p>
      <w:pPr>
        <w:pStyle w:val="style179"/>
        <w:numPr>
          <w:ilvl w:val="0"/>
          <w:numId w:val="3"/>
        </w:numPr>
        <w:spacing w:lineRule="auto" w:line="360"/>
        <w:ind w:left="81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Moderate stunting</w:t>
      </w:r>
    </w:p>
    <w:p>
      <w:pPr>
        <w:pStyle w:val="style179"/>
        <w:numPr>
          <w:ilvl w:val="0"/>
          <w:numId w:val="3"/>
        </w:numPr>
        <w:spacing w:lineRule="auto" w:line="360"/>
        <w:ind w:left="81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Severe stunting</w:t>
      </w:r>
    </w:p>
    <w:p>
      <w:pPr>
        <w:pStyle w:val="style179"/>
        <w:numPr>
          <w:ilvl w:val="0"/>
          <w:numId w:val="3"/>
        </w:numPr>
        <w:spacing w:lineRule="auto" w:line="360"/>
        <w:ind w:left="81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Moderate growth failure</w:t>
      </w:r>
    </w:p>
    <w:p>
      <w:pPr>
        <w:pStyle w:val="style179"/>
        <w:numPr>
          <w:ilvl w:val="0"/>
          <w:numId w:val="3"/>
        </w:numPr>
        <w:spacing w:lineRule="auto" w:line="360"/>
        <w:ind w:left="81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Severe growth failure</w:t>
      </w:r>
    </w:p>
    <w:p>
      <w:pPr>
        <w:pStyle w:val="style179"/>
        <w:numPr>
          <w:ilvl w:val="0"/>
          <w:numId w:val="3"/>
        </w:numPr>
        <w:spacing w:lineRule="auto" w:line="360"/>
        <w:ind w:left="810" w:hanging="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Normal growth</w:t>
      </w:r>
    </w:p>
    <w:tbl>
      <w:tblPr>
        <w:tblStyle w:val="style154"/>
        <w:tblW w:w="0" w:type="auto"/>
        <w:tblInd w:w="468" w:type="dxa"/>
        <w:tblLook w:val="04A0" w:firstRow="1" w:lastRow="0" w:firstColumn="1" w:lastColumn="0" w:noHBand="0" w:noVBand="1"/>
      </w:tblPr>
      <w:tblGrid>
        <w:gridCol w:w="1656"/>
        <w:gridCol w:w="4627"/>
        <w:gridCol w:w="2825"/>
      </w:tblGrid>
      <w:tr>
        <w:trPr/>
        <w:tc>
          <w:tcPr>
            <w:tcW w:w="630" w:type="dxa"/>
            <w:tcBorders/>
          </w:tcPr>
          <w:p>
            <w:pPr>
              <w:pStyle w:val="style0"/>
              <w:spacing w:before="60" w:after="6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5310" w:type="dxa"/>
            <w:tcBorders/>
          </w:tcPr>
          <w:p>
            <w:pPr>
              <w:pStyle w:val="style0"/>
              <w:spacing w:before="60" w:after="6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Nutrition Indicators</w:t>
            </w:r>
          </w:p>
        </w:tc>
        <w:tc>
          <w:tcPr>
            <w:tcW w:w="3168" w:type="dxa"/>
            <w:tcBorders/>
          </w:tcPr>
          <w:p>
            <w:pPr>
              <w:pStyle w:val="style179"/>
              <w:spacing w:before="60" w:after="60"/>
              <w:ind w:left="0"/>
              <w:contextualSpacing w:val="false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Nutrition Status</w:t>
            </w:r>
          </w:p>
        </w:tc>
      </w:tr>
      <w:tr>
        <w:tblPrEx/>
        <w:trPr/>
        <w:tc>
          <w:tcPr>
            <w:tcW w:w="630" w:type="dxa"/>
            <w:tcBorders/>
          </w:tcPr>
          <w:p>
            <w:pPr>
              <w:pStyle w:val="style179"/>
              <w:numPr>
                <w:ilvl w:val="0"/>
                <w:numId w:val="10"/>
              </w:numPr>
              <w:spacing w:before="60" w:after="60"/>
              <w:ind w:hanging="648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/>
          </w:tcPr>
          <w:p>
            <w:pPr>
              <w:pStyle w:val="style0"/>
              <w:spacing w:before="60" w:after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Weight-for-height index &lt;-2Z score  but &gt;-3 Z score</w:t>
            </w:r>
          </w:p>
        </w:tc>
        <w:tc>
          <w:tcPr>
            <w:tcW w:w="3168" w:type="dxa"/>
            <w:tcBorders/>
          </w:tcPr>
          <w:p>
            <w:pPr>
              <w:pStyle w:val="style179"/>
              <w:spacing w:before="60" w:after="60"/>
              <w:ind w:lef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/>
          </w:tcPr>
          <w:p>
            <w:pPr>
              <w:pStyle w:val="style179"/>
              <w:numPr>
                <w:ilvl w:val="0"/>
                <w:numId w:val="10"/>
              </w:numPr>
              <w:spacing w:before="60" w:after="60"/>
              <w:ind w:hanging="648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/>
          </w:tcPr>
          <w:p>
            <w:pPr>
              <w:pStyle w:val="style179"/>
              <w:spacing w:before="60" w:after="60"/>
              <w:ind w:lef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Weight- for- age index &lt;-70%</w:t>
            </w:r>
          </w:p>
        </w:tc>
        <w:tc>
          <w:tcPr>
            <w:tcW w:w="3168" w:type="dxa"/>
            <w:tcBorders/>
          </w:tcPr>
          <w:p>
            <w:pPr>
              <w:pStyle w:val="style179"/>
              <w:spacing w:before="60" w:after="60"/>
              <w:ind w:lef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/>
          </w:tcPr>
          <w:p>
            <w:pPr>
              <w:pStyle w:val="style179"/>
              <w:numPr>
                <w:ilvl w:val="0"/>
                <w:numId w:val="10"/>
              </w:numPr>
              <w:spacing w:before="60" w:after="60"/>
              <w:ind w:hanging="648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/>
          </w:tcPr>
          <w:p>
            <w:pPr>
              <w:pStyle w:val="style179"/>
              <w:spacing w:before="60" w:after="60"/>
              <w:ind w:lef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Height- for- age index &lt;-2D</w:t>
            </w:r>
          </w:p>
        </w:tc>
        <w:tc>
          <w:tcPr>
            <w:tcW w:w="3168" w:type="dxa"/>
            <w:tcBorders/>
          </w:tcPr>
          <w:p>
            <w:pPr>
              <w:pStyle w:val="style179"/>
              <w:spacing w:before="60" w:after="60"/>
              <w:ind w:lef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/>
          </w:tcPr>
          <w:p>
            <w:pPr>
              <w:pStyle w:val="style179"/>
              <w:numPr>
                <w:ilvl w:val="0"/>
                <w:numId w:val="10"/>
              </w:numPr>
              <w:spacing w:before="60" w:after="60"/>
              <w:ind w:hanging="648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/>
          </w:tcPr>
          <w:p>
            <w:pPr>
              <w:pStyle w:val="style0"/>
              <w:spacing w:before="60" w:after="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Height-for-age index &gt;-2 SD</w:t>
            </w:r>
          </w:p>
        </w:tc>
        <w:tc>
          <w:tcPr>
            <w:tcW w:w="3168" w:type="dxa"/>
            <w:tcBorders/>
          </w:tcPr>
          <w:p>
            <w:pPr>
              <w:pStyle w:val="style179"/>
              <w:spacing w:before="60" w:after="60"/>
              <w:ind w:lef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/>
          </w:tcPr>
          <w:p>
            <w:pPr>
              <w:pStyle w:val="style179"/>
              <w:numPr>
                <w:ilvl w:val="0"/>
                <w:numId w:val="10"/>
              </w:numPr>
              <w:spacing w:before="60" w:after="60"/>
              <w:ind w:hanging="648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/>
          </w:tcPr>
          <w:p>
            <w:pPr>
              <w:pStyle w:val="style179"/>
              <w:spacing w:before="60" w:after="60"/>
              <w:ind w:lef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Weight-for-age index &gt;-2 SD </w:t>
            </w:r>
          </w:p>
        </w:tc>
        <w:tc>
          <w:tcPr>
            <w:tcW w:w="3168" w:type="dxa"/>
            <w:tcBorders/>
          </w:tcPr>
          <w:p>
            <w:pPr>
              <w:pStyle w:val="style179"/>
              <w:spacing w:before="60" w:after="60"/>
              <w:ind w:lef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630" w:type="dxa"/>
            <w:tcBorders/>
          </w:tcPr>
          <w:p>
            <w:pPr>
              <w:pStyle w:val="style179"/>
              <w:numPr>
                <w:ilvl w:val="0"/>
                <w:numId w:val="10"/>
              </w:numPr>
              <w:spacing w:before="60" w:after="60"/>
              <w:ind w:hanging="648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310" w:type="dxa"/>
            <w:tcBorders/>
          </w:tcPr>
          <w:p>
            <w:pPr>
              <w:pStyle w:val="style179"/>
              <w:spacing w:before="60" w:after="60"/>
              <w:ind w:lef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MUAC &lt; 110 mm</w:t>
            </w:r>
          </w:p>
        </w:tc>
        <w:tc>
          <w:tcPr>
            <w:tcW w:w="3168" w:type="dxa"/>
            <w:tcBorders/>
          </w:tcPr>
          <w:p>
            <w:pPr>
              <w:pStyle w:val="style179"/>
              <w:spacing w:before="60" w:after="60"/>
              <w:ind w:left="0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79"/>
        <w:spacing w:lineRule="auto" w:line="360"/>
        <w:ind w:left="1483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PART II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– SHORT ANSWER QUESTIONS (40 MARKS)</w:t>
      </w:r>
    </w:p>
    <w:p>
      <w:pPr>
        <w:pStyle w:val="style179"/>
        <w:numPr>
          <w:ilvl w:val="0"/>
          <w:numId w:val="6"/>
        </w:numPr>
        <w:tabs>
          <w:tab w:val="left" w:leader="none" w:pos="8640"/>
        </w:tabs>
        <w:spacing w:lineRule="auto" w:line="360"/>
        <w:ind w:right="-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 the procedure of weighing a child using</w:t>
      </w:r>
      <w:r>
        <w:rPr>
          <w:rFonts w:ascii="Times New Roman" w:cs="Times New Roman" w:hAnsi="Times New Roman"/>
          <w:sz w:val="24"/>
          <w:szCs w:val="24"/>
        </w:rPr>
        <w:t xml:space="preserve"> a</w:t>
      </w:r>
      <w:r>
        <w:rPr>
          <w:rFonts w:ascii="Times New Roman" w:cs="Times New Roman" w:hAnsi="Times New Roman"/>
          <w:sz w:val="24"/>
          <w:szCs w:val="24"/>
        </w:rPr>
        <w:t xml:space="preserve"> Salter scale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(8 marks)</w:t>
      </w:r>
    </w:p>
    <w:p>
      <w:pPr>
        <w:pStyle w:val="style179"/>
        <w:numPr>
          <w:ilvl w:val="0"/>
          <w:numId w:val="6"/>
        </w:numPr>
        <w:tabs>
          <w:tab w:val="left" w:leader="none" w:pos="8640"/>
        </w:tabs>
        <w:spacing w:lineRule="auto" w:line="360"/>
        <w:ind w:right="-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Differentiate between the following terms as used in nutrition surveillance</w:t>
      </w:r>
      <w:r>
        <w:rPr>
          <w:rFonts w:ascii="Times New Roman" w:cs="Times New Roman" w:hAnsi="Times New Roman"/>
          <w:sz w:val="24"/>
          <w:szCs w:val="24"/>
        </w:rPr>
        <w:t>:</w:t>
      </w:r>
    </w:p>
    <w:p>
      <w:pPr>
        <w:pStyle w:val="style179"/>
        <w:numPr>
          <w:ilvl w:val="1"/>
          <w:numId w:val="2"/>
        </w:numPr>
        <w:tabs>
          <w:tab w:val="left" w:leader="none" w:pos="8640"/>
        </w:tabs>
        <w:spacing w:lineRule="auto" w:line="360"/>
        <w:ind w:right="-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Wasting and Stunting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179"/>
        <w:numPr>
          <w:ilvl w:val="1"/>
          <w:numId w:val="2"/>
        </w:numPr>
        <w:tabs>
          <w:tab w:val="left" w:leader="none" w:pos="8640"/>
        </w:tabs>
        <w:spacing w:lineRule="auto" w:line="360"/>
        <w:ind w:right="-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Height and Length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179"/>
        <w:numPr>
          <w:ilvl w:val="1"/>
          <w:numId w:val="2"/>
        </w:numPr>
        <w:tabs>
          <w:tab w:val="left" w:leader="none" w:pos="8640"/>
        </w:tabs>
        <w:spacing w:lineRule="auto" w:line="360"/>
        <w:ind w:right="-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Qualitative data and Quantitative data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179"/>
        <w:numPr>
          <w:ilvl w:val="1"/>
          <w:numId w:val="2"/>
        </w:numPr>
        <w:tabs>
          <w:tab w:val="left" w:leader="none" w:pos="8640"/>
        </w:tabs>
        <w:spacing w:lineRule="auto" w:line="360"/>
        <w:ind w:right="-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Biochemical assessment and Clinical assessment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(2 marks)</w:t>
      </w:r>
    </w:p>
    <w:p>
      <w:pPr>
        <w:pStyle w:val="style179"/>
        <w:numPr>
          <w:ilvl w:val="0"/>
          <w:numId w:val="6"/>
        </w:numPr>
        <w:tabs>
          <w:tab w:val="left" w:leader="none" w:pos="8640"/>
        </w:tabs>
        <w:spacing w:lineRule="auto" w:line="360"/>
        <w:ind w:right="-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Outline</w:t>
      </w:r>
      <w:r>
        <w:rPr>
          <w:rFonts w:ascii="Times New Roman" w:cs="Times New Roman" w:hAnsi="Times New Roman"/>
          <w:sz w:val="24"/>
          <w:szCs w:val="24"/>
        </w:rPr>
        <w:t xml:space="preserve"> 4 effects of infection on the nutrition status of an individual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 xml:space="preserve"> marks)</w:t>
      </w:r>
    </w:p>
    <w:p>
      <w:pPr>
        <w:pStyle w:val="style179"/>
        <w:numPr>
          <w:ilvl w:val="0"/>
          <w:numId w:val="6"/>
        </w:numPr>
        <w:tabs>
          <w:tab w:val="left" w:leader="none" w:pos="8640"/>
        </w:tabs>
        <w:spacing w:lineRule="auto" w:line="360"/>
        <w:ind w:right="-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four factors that promote growth in children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 marks)</w:t>
      </w:r>
    </w:p>
    <w:p>
      <w:pPr>
        <w:pStyle w:val="style179"/>
        <w:numPr>
          <w:ilvl w:val="0"/>
          <w:numId w:val="6"/>
        </w:numPr>
        <w:tabs>
          <w:tab w:val="left" w:leader="none" w:pos="8640"/>
        </w:tabs>
        <w:spacing w:lineRule="auto" w:line="360"/>
        <w:ind w:right="99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 four indicators that you would consider in household food security  assessment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(8 marks)</w:t>
      </w:r>
    </w:p>
    <w:p>
      <w:pPr>
        <w:pStyle w:val="style179"/>
        <w:numPr>
          <w:ilvl w:val="0"/>
          <w:numId w:val="6"/>
        </w:numPr>
        <w:tabs>
          <w:tab w:val="left" w:leader="none" w:pos="8640"/>
        </w:tabs>
        <w:spacing w:lineRule="auto" w:line="360"/>
        <w:ind w:right="-27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 4 types of surveillance systems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(8 marks)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br w:type="page"/>
      </w:r>
    </w:p>
    <w:p>
      <w:pPr>
        <w:pStyle w:val="style0"/>
        <w:tabs>
          <w:tab w:val="left" w:leader="none" w:pos="8640"/>
        </w:tabs>
        <w:spacing w:lineRule="auto" w:line="360"/>
        <w:ind w:right="-27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PART III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: LONG ANSWER QUESTIONS (40 MARKS)</w:t>
      </w:r>
    </w:p>
    <w:p>
      <w:pPr>
        <w:pStyle w:val="style179"/>
        <w:numPr>
          <w:ilvl w:val="0"/>
          <w:numId w:val="7"/>
        </w:numPr>
        <w:tabs>
          <w:tab w:val="left" w:leader="none" w:pos="8640"/>
        </w:tabs>
        <w:spacing w:lineRule="auto" w:line="360"/>
        <w:ind w:right="99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Growth monitoring and promotion (GMP) is a key component of the Nutrition Programme in Kenya.</w:t>
      </w:r>
    </w:p>
    <w:p>
      <w:pPr>
        <w:pStyle w:val="style179"/>
        <w:numPr>
          <w:ilvl w:val="0"/>
          <w:numId w:val="8"/>
        </w:numPr>
        <w:tabs>
          <w:tab w:val="left" w:leader="none" w:pos="8640"/>
        </w:tabs>
        <w:spacing w:lineRule="auto" w:line="360"/>
        <w:ind w:right="99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Differentiate between growth monitoring and growth promotion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 marks)</w:t>
      </w:r>
    </w:p>
    <w:p>
      <w:pPr>
        <w:pStyle w:val="style179"/>
        <w:numPr>
          <w:ilvl w:val="0"/>
          <w:numId w:val="8"/>
        </w:numPr>
        <w:tabs>
          <w:tab w:val="left" w:leader="none" w:pos="8640"/>
        </w:tabs>
        <w:spacing w:lineRule="auto" w:line="360"/>
        <w:ind w:right="99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 four uses of growth monitoring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(4 marks) </w:t>
      </w:r>
    </w:p>
    <w:p>
      <w:pPr>
        <w:pStyle w:val="style179"/>
        <w:numPr>
          <w:ilvl w:val="0"/>
          <w:numId w:val="8"/>
        </w:numPr>
        <w:tabs>
          <w:tab w:val="left" w:leader="none" w:pos="8640"/>
        </w:tabs>
        <w:spacing w:lineRule="auto" w:line="360"/>
        <w:ind w:right="99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four activities that are carried out during growth monitoring to promote child growth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 marks)</w:t>
      </w:r>
    </w:p>
    <w:p>
      <w:pPr>
        <w:pStyle w:val="style179"/>
        <w:numPr>
          <w:ilvl w:val="0"/>
          <w:numId w:val="8"/>
        </w:numPr>
        <w:tabs>
          <w:tab w:val="left" w:leader="none" w:pos="8640"/>
        </w:tabs>
        <w:spacing w:after="360" w:lineRule="auto" w:line="360"/>
        <w:ind w:right="994"/>
        <w:jc w:val="both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During growth monitoring state 4 factors which indicate need for special care of children explaining the reason why in each case.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(8 marks)</w:t>
      </w:r>
    </w:p>
    <w:p>
      <w:pPr>
        <w:pStyle w:val="style179"/>
        <w:numPr>
          <w:ilvl w:val="0"/>
          <w:numId w:val="7"/>
        </w:numPr>
        <w:tabs>
          <w:tab w:val="left" w:leader="none" w:pos="8640"/>
        </w:tabs>
        <w:spacing w:lineRule="auto" w:line="360"/>
        <w:ind w:right="99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You have been appointed as a District Nutrition Officer. One of your responsibilities is to carry out</w:t>
      </w:r>
      <w:r>
        <w:rPr>
          <w:rFonts w:ascii="Times New Roman" w:cs="Times New Roman" w:hAnsi="Times New Roman"/>
          <w:sz w:val="24"/>
          <w:szCs w:val="24"/>
        </w:rPr>
        <w:t xml:space="preserve"> a dietary surveys and o</w:t>
      </w:r>
      <w:r>
        <w:rPr>
          <w:rFonts w:ascii="Times New Roman" w:cs="Times New Roman" w:hAnsi="Times New Roman"/>
          <w:sz w:val="24"/>
          <w:szCs w:val="24"/>
        </w:rPr>
        <w:t>ne limitation in each case.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numPr>
          <w:ilvl w:val="0"/>
          <w:numId w:val="9"/>
        </w:numPr>
        <w:tabs>
          <w:tab w:val="left" w:leader="none" w:pos="8640"/>
        </w:tabs>
        <w:spacing w:lineRule="auto" w:line="360"/>
        <w:ind w:right="99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4 reasons for carrying out dietary assessments in the community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 marks)</w:t>
      </w:r>
    </w:p>
    <w:p>
      <w:pPr>
        <w:pStyle w:val="style179"/>
        <w:numPr>
          <w:ilvl w:val="0"/>
          <w:numId w:val="9"/>
        </w:numPr>
        <w:tabs>
          <w:tab w:val="left" w:leader="none" w:pos="8640"/>
        </w:tabs>
        <w:spacing w:lineRule="auto" w:line="360"/>
        <w:ind w:right="99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When conducting a dietary survey, explain 4 factors that will influence the choice of the dietary assessment method.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(4marks)</w:t>
      </w:r>
    </w:p>
    <w:p>
      <w:pPr>
        <w:pStyle w:val="style179"/>
        <w:numPr>
          <w:ilvl w:val="0"/>
          <w:numId w:val="9"/>
        </w:numPr>
        <w:tabs>
          <w:tab w:val="left" w:leader="none" w:pos="8640"/>
        </w:tabs>
        <w:spacing w:lineRule="auto" w:line="360"/>
        <w:ind w:right="990"/>
        <w:jc w:val="both"/>
        <w:rPr/>
      </w:pPr>
      <w:r>
        <w:rPr>
          <w:rFonts w:ascii="Times New Roman" w:cs="Times New Roman" w:hAnsi="Times New Roman"/>
          <w:sz w:val="24"/>
          <w:szCs w:val="24"/>
        </w:rPr>
        <w:t>Explain 4 dietary assessment methods used for carrying out dietary surveys and one limitation in each</w:t>
      </w:r>
      <w:r>
        <w:t xml:space="preserve"> case.</w:t>
      </w:r>
      <w:r>
        <w:tab/>
      </w:r>
      <w:r>
        <w:t>(12 marks)</w:t>
      </w:r>
    </w:p>
    <w:sectPr>
      <w:headerReference w:type="default" r:id="rId4"/>
      <w:footerReference w:type="default" r:id="rId5"/>
      <w:pgSz w:w="12240" w:h="15840" w:orient="portrait"/>
      <w:pgMar w:top="1440" w:right="1440" w:bottom="1260" w:left="1440" w:header="720" w:footer="36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Bradley Hand ITC">
    <w:altName w:val="Bradley Hand ITC"/>
    <w:panose1 w:val="03070402050003030203"/>
    <w:charset w:val="00"/>
    <w:family w:val="script"/>
    <w:pitch w:val="variable"/>
    <w:sig w:usb0="00000003" w:usb1="00000000" w:usb2="00000000" w:usb3="00000000" w:csb0="00000001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4</w:t>
    </w:r>
    <w:r>
      <w:rPr/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shd w:val="clear" w:color="auto" w:fill="a6a6a6"/>
      </w:rPr>
    </w:pPr>
  </w:p>
  <w:p>
    <w:pPr>
      <w:pStyle w:val="style31"/>
      <w:jc w:val="right"/>
      <w:rPr>
        <w:shd w:val="clear" w:color="auto" w:fill="a6a6a6"/>
      </w:rPr>
    </w:pPr>
    <w:r>
      <w:rPr>
        <w:shd w:val="clear" w:color="auto" w:fill="a6a6a6"/>
      </w:rPr>
      <w:t>KMTC/QP-08/TIS</w:t>
    </w:r>
  </w:p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B42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F22C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E40B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D8695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4"/>
    <w:multiLevelType w:val="hybridMultilevel"/>
    <w:tmpl w:val="527CF244"/>
    <w:lvl w:ilvl="0" w:tplc="0409001B">
      <w:start w:val="1"/>
      <w:numFmt w:val="lowerRoman"/>
      <w:lvlText w:val="%1."/>
      <w:lvlJc w:val="right"/>
      <w:pPr>
        <w:ind w:left="1483" w:hanging="360"/>
      </w:pPr>
    </w:lvl>
    <w:lvl w:ilvl="1" w:tplc="04090019" w:tentative="1">
      <w:start w:val="1"/>
      <w:numFmt w:val="lowerLetter"/>
      <w:lvlText w:val="%2."/>
      <w:lvlJc w:val="left"/>
      <w:pPr>
        <w:ind w:left="2203" w:hanging="360"/>
      </w:pPr>
    </w:lvl>
    <w:lvl w:ilvl="2" w:tplc="0409001B" w:tentative="1">
      <w:start w:val="1"/>
      <w:numFmt w:val="lowerRoman"/>
      <w:lvlText w:val="%3."/>
      <w:lvlJc w:val="right"/>
      <w:pPr>
        <w:ind w:left="2923" w:hanging="180"/>
      </w:pPr>
    </w:lvl>
    <w:lvl w:ilvl="3" w:tplc="0409000F" w:tentative="1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5">
    <w:nsid w:val="00000005"/>
    <w:multiLevelType w:val="hybridMultilevel"/>
    <w:tmpl w:val="2E8AEF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D346C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6C260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8CE6E29A"/>
    <w:lvl w:ilvl="0" w:tplc="04090015">
      <w:start w:val="1"/>
      <w:numFmt w:val="upperLetter"/>
      <w:lvlText w:val="%1."/>
      <w:lvlJc w:val="left"/>
      <w:pPr>
        <w:ind w:left="1257" w:hanging="360"/>
      </w:pPr>
    </w:lvl>
    <w:lvl w:ilvl="1" w:tplc="04090019" w:tentative="1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9">
    <w:nsid w:val="00000009"/>
    <w:multiLevelType w:val="hybridMultilevel"/>
    <w:tmpl w:val="D04EC8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lang w:val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ce5ac32-9f1c-41f9-aa8f-a9d3b09e00d0"/>
    <w:basedOn w:val="style65"/>
    <w:next w:val="style4097"/>
    <w:link w:val="style31"/>
    <w:uiPriority w:val="99"/>
    <w:rPr>
      <w:lang w:val="en-GB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fb657f3-0cd6-455c-9538-5dcfc78cc1b9"/>
    <w:basedOn w:val="style65"/>
    <w:next w:val="style4098"/>
    <w:link w:val="style32"/>
    <w:uiPriority w:val="99"/>
    <w:rPr>
      <w:lang w:val="en-GB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9" Type="http://schemas.openxmlformats.org/officeDocument/2006/relationships/theme" Target="theme/theme1.xml"/><Relationship Id="rId5" Type="http://schemas.openxmlformats.org/officeDocument/2006/relationships/footer" Target="foot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757</Words>
  <Pages>5</Pages>
  <Characters>4255</Characters>
  <Application>WPS Office</Application>
  <DocSecurity>0</DocSecurity>
  <Paragraphs>160</Paragraphs>
  <ScaleCrop>false</ScaleCrop>
  <LinksUpToDate>false</LinksUpToDate>
  <CharactersWithSpaces>4902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2014-05-07T08:46:00Z</dcterms:created>
  <dc:creator>Guest</dc:creator>
  <lastModifiedBy>TECNO KC8</lastModifiedBy>
  <lastPrinted>2014-06-10T15:35:00Z</lastPrinted>
  <dcterms:modified xsi:type="dcterms:W3CDTF">2021-02-03T15:56:25Z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