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7D5C0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9F30DF" w:rsidRPr="003D4919" w:rsidRDefault="009F30DF" w:rsidP="009F30DF">
      <w:pPr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Pr="003D4919" w:rsidRDefault="005C298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END OF SEMESTER </w:t>
      </w:r>
      <w:r w:rsidRPr="003D4919">
        <w:rPr>
          <w:b/>
          <w:sz w:val="22"/>
          <w:szCs w:val="22"/>
        </w:rPr>
        <w:t xml:space="preserve">EXAMINATION FOR THE DEGREE OF </w:t>
      </w:r>
      <w:r>
        <w:rPr>
          <w:b/>
          <w:sz w:val="22"/>
          <w:szCs w:val="22"/>
        </w:rPr>
        <w:t>MASTER</w:t>
      </w:r>
      <w:r w:rsidRPr="003D4919">
        <w:rPr>
          <w:b/>
          <w:sz w:val="22"/>
          <w:szCs w:val="22"/>
        </w:rPr>
        <w:t xml:space="preserve"> OF SCIENCE IN </w:t>
      </w:r>
      <w:r>
        <w:rPr>
          <w:b/>
          <w:sz w:val="22"/>
          <w:szCs w:val="22"/>
        </w:rPr>
        <w:t>STRATEGIC MANAGEMENT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Pr="003D4919" w:rsidRDefault="005C298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LABORATORY SCIENCE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Pr="003D4919" w:rsidRDefault="005C298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MLS 2300: CLINICAL CHEMISTRY I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DECEMBER, 2019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  <w:t>TIME</w:t>
      </w:r>
      <w:r w:rsidR="007379AE">
        <w:rPr>
          <w:b/>
          <w:bCs/>
          <w:sz w:val="22"/>
          <w:szCs w:val="22"/>
        </w:rPr>
        <w:t>3</w:t>
      </w:r>
      <w:r w:rsidRPr="003D4919">
        <w:rPr>
          <w:b/>
          <w:bCs/>
          <w:sz w:val="22"/>
          <w:szCs w:val="22"/>
        </w:rPr>
        <w:t xml:space="preserve"> 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0"/>
          <w:szCs w:val="20"/>
        </w:rPr>
      </w:pPr>
    </w:p>
    <w:p w:rsidR="007379AE" w:rsidRPr="005C2984" w:rsidRDefault="007379AE" w:rsidP="005C2984">
      <w:pPr>
        <w:ind w:left="2160" w:hanging="2160"/>
        <w:jc w:val="both"/>
        <w:rPr>
          <w:rFonts w:ascii="Bookman Old Style" w:hAnsi="Bookman Old Style"/>
          <w:sz w:val="22"/>
          <w:szCs w:val="22"/>
        </w:rPr>
      </w:pPr>
      <w:r w:rsidRPr="005C2984">
        <w:rPr>
          <w:rFonts w:ascii="Bookman Old Style" w:hAnsi="Bookman Old Style"/>
          <w:sz w:val="22"/>
          <w:szCs w:val="22"/>
        </w:rPr>
        <w:t>INSTRUCTIONS:</w:t>
      </w:r>
      <w:r w:rsidRPr="005C2984">
        <w:rPr>
          <w:rFonts w:ascii="Bookman Old Style" w:hAnsi="Bookman Old Style"/>
          <w:sz w:val="22"/>
          <w:szCs w:val="22"/>
        </w:rPr>
        <w:tab/>
        <w:t>ANSWER QUESTION ONE (COMPULSORY) AND ANY OTHER THREE QUESTIONS</w:t>
      </w:r>
    </w:p>
    <w:p w:rsidR="007379AE" w:rsidRPr="005C2984" w:rsidRDefault="007379AE" w:rsidP="005C2984">
      <w:pPr>
        <w:ind w:left="2160" w:hanging="2160"/>
        <w:jc w:val="both"/>
        <w:rPr>
          <w:rFonts w:ascii="Bookman Old Style" w:hAnsi="Bookman Old Style"/>
          <w:sz w:val="22"/>
          <w:szCs w:val="22"/>
        </w:rPr>
      </w:pPr>
    </w:p>
    <w:p w:rsidR="007379AE" w:rsidRPr="003C4FB3" w:rsidRDefault="005C2984" w:rsidP="005C2984">
      <w:pPr>
        <w:ind w:left="1440" w:hanging="1440"/>
        <w:jc w:val="both"/>
        <w:rPr>
          <w:rFonts w:ascii="Bookman Old Style" w:hAnsi="Bookman Old Style"/>
          <w:b/>
          <w:sz w:val="22"/>
          <w:szCs w:val="22"/>
        </w:rPr>
      </w:pPr>
      <w:r w:rsidRPr="003C4FB3">
        <w:rPr>
          <w:rFonts w:ascii="Bookman Old Style" w:hAnsi="Bookman Old Style"/>
          <w:b/>
          <w:sz w:val="22"/>
          <w:szCs w:val="22"/>
        </w:rPr>
        <w:t>QUESTION ONE</w:t>
      </w:r>
      <w:r w:rsidR="003C4FB3">
        <w:rPr>
          <w:rFonts w:ascii="Bookman Old Style" w:hAnsi="Bookman Old Style"/>
          <w:b/>
          <w:sz w:val="22"/>
          <w:szCs w:val="22"/>
        </w:rPr>
        <w:t>: 30 MARKS</w:t>
      </w:r>
    </w:p>
    <w:p w:rsidR="005C2984" w:rsidRPr="005C2984" w:rsidRDefault="005C2984" w:rsidP="005C2984">
      <w:pPr>
        <w:ind w:left="1440" w:hanging="1440"/>
        <w:jc w:val="both"/>
        <w:rPr>
          <w:rFonts w:ascii="Bookman Old Style" w:hAnsi="Bookman Old Style"/>
          <w:sz w:val="22"/>
          <w:szCs w:val="22"/>
        </w:rPr>
      </w:pPr>
    </w:p>
    <w:p w:rsidR="005C2984" w:rsidRDefault="005C2984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 w:rsidRPr="005C2984">
        <w:rPr>
          <w:rFonts w:ascii="Bookman Old Style" w:hAnsi="Bookman Old Style"/>
          <w:sz w:val="22"/>
          <w:szCs w:val="22"/>
        </w:rPr>
        <w:t>a.</w:t>
      </w:r>
      <w:r w:rsidRPr="005C2984">
        <w:rPr>
          <w:rFonts w:ascii="Bookman Old Style" w:hAnsi="Bookman Old Style"/>
          <w:sz w:val="22"/>
          <w:szCs w:val="22"/>
        </w:rPr>
        <w:tab/>
        <w:t>Define the term international business and enumerate 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5C2984">
        <w:rPr>
          <w:rFonts w:ascii="Bookman Old Style" w:hAnsi="Bookman Old Style"/>
          <w:sz w:val="22"/>
          <w:szCs w:val="22"/>
        </w:rPr>
        <w:t>few of it’s benefits.</w:t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Pr="005C2984">
        <w:rPr>
          <w:rFonts w:ascii="Bookman Old Style" w:hAnsi="Bookman Old Style"/>
          <w:sz w:val="22"/>
          <w:szCs w:val="22"/>
        </w:rPr>
        <w:tab/>
        <w:t>(3 marks)</w:t>
      </w:r>
    </w:p>
    <w:p w:rsidR="005C2984" w:rsidRDefault="005C2984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5C2984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Compare and contrast the absolute advantage and those of international.</w:t>
      </w:r>
    </w:p>
    <w:p w:rsidR="005C2984" w:rsidRDefault="005C2984" w:rsidP="003C4FB3">
      <w:pPr>
        <w:ind w:left="7830" w:firstLine="9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(5 marks)</w:t>
      </w:r>
    </w:p>
    <w:p w:rsidR="005C2984" w:rsidRDefault="005C2984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5C2984" w:rsidRDefault="005C2984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21660F">
        <w:rPr>
          <w:rFonts w:ascii="Bookman Old Style" w:hAnsi="Bookman Old Style"/>
          <w:sz w:val="22"/>
          <w:szCs w:val="22"/>
        </w:rPr>
        <w:t>Nultinationals</w:t>
      </w:r>
      <w:r>
        <w:rPr>
          <w:rFonts w:ascii="Bookman Old Style" w:hAnsi="Bookman Old Style"/>
          <w:sz w:val="22"/>
          <w:szCs w:val="22"/>
        </w:rPr>
        <w:t xml:space="preserve"> are </w:t>
      </w:r>
      <w:r w:rsidR="0021660F">
        <w:rPr>
          <w:rFonts w:ascii="Bookman Old Style" w:hAnsi="Bookman Old Style"/>
          <w:sz w:val="22"/>
          <w:szCs w:val="22"/>
        </w:rPr>
        <w:t>a leading</w:t>
      </w:r>
      <w:r>
        <w:rPr>
          <w:rFonts w:ascii="Bookman Old Style" w:hAnsi="Bookman Old Style"/>
          <w:sz w:val="22"/>
          <w:szCs w:val="22"/>
        </w:rPr>
        <w:t xml:space="preserve"> source of capital inflows to the developing world building factories and supplying educational instructive.  Howe</w:t>
      </w:r>
      <w:r w:rsidR="0021660F">
        <w:rPr>
          <w:rFonts w:ascii="Bookman Old Style" w:hAnsi="Bookman Old Style"/>
          <w:sz w:val="22"/>
          <w:szCs w:val="22"/>
        </w:rPr>
        <w:t>v</w:t>
      </w:r>
      <w:r>
        <w:rPr>
          <w:rFonts w:ascii="Bookman Old Style" w:hAnsi="Bookman Old Style"/>
          <w:sz w:val="22"/>
          <w:szCs w:val="22"/>
        </w:rPr>
        <w:t xml:space="preserve">er these are both negative and positive concern about their </w:t>
      </w:r>
      <w:r w:rsidR="0021660F">
        <w:rPr>
          <w:rFonts w:ascii="Bookman Old Style" w:hAnsi="Bookman Old Style"/>
          <w:sz w:val="22"/>
          <w:szCs w:val="22"/>
        </w:rPr>
        <w:t>activates</w:t>
      </w:r>
      <w:r>
        <w:rPr>
          <w:rFonts w:ascii="Bookman Old Style" w:hAnsi="Bookman Old Style"/>
          <w:sz w:val="22"/>
          <w:szCs w:val="22"/>
        </w:rPr>
        <w:t>.  Identify and discuss at least five of the negative concerns.</w:t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highlight five things that an international business and its mangers can do to make sure ethical issues are considered in business decisions.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A572E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the influence of culture as a source of international business </w:t>
      </w:r>
      <w:r w:rsidR="00A572EA">
        <w:rPr>
          <w:rFonts w:ascii="Bookman Old Style" w:hAnsi="Bookman Old Style"/>
          <w:sz w:val="22"/>
          <w:szCs w:val="22"/>
        </w:rPr>
        <w:t>negotiations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(7 marks)</w:t>
      </w: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21660F" w:rsidRPr="003C4FB3" w:rsidRDefault="0021660F" w:rsidP="005C2984">
      <w:pPr>
        <w:ind w:left="630" w:hanging="630"/>
        <w:jc w:val="both"/>
        <w:rPr>
          <w:rFonts w:ascii="Bookman Old Style" w:hAnsi="Bookman Old Style"/>
          <w:b/>
          <w:sz w:val="22"/>
          <w:szCs w:val="22"/>
        </w:rPr>
      </w:pPr>
      <w:r w:rsidRPr="003C4FB3">
        <w:rPr>
          <w:rFonts w:ascii="Bookman Old Style" w:hAnsi="Bookman Old Style"/>
          <w:b/>
          <w:sz w:val="22"/>
          <w:szCs w:val="22"/>
        </w:rPr>
        <w:t>QUESTION TWO</w:t>
      </w:r>
      <w:r w:rsidR="00A572EA" w:rsidRPr="003C4FB3">
        <w:rPr>
          <w:rFonts w:ascii="Bookman Old Style" w:hAnsi="Bookman Old Style"/>
          <w:b/>
          <w:sz w:val="22"/>
          <w:szCs w:val="22"/>
        </w:rPr>
        <w:t xml:space="preserve">: </w:t>
      </w:r>
      <w:r w:rsidR="003C4FB3" w:rsidRPr="003C4FB3">
        <w:rPr>
          <w:rFonts w:ascii="Bookman Old Style" w:hAnsi="Bookman Old Style"/>
          <w:b/>
          <w:sz w:val="22"/>
          <w:szCs w:val="22"/>
        </w:rPr>
        <w:t>15</w:t>
      </w:r>
      <w:r w:rsidRPr="003C4FB3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21660F" w:rsidRDefault="0021660F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21660F" w:rsidRDefault="00A572EA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21660F">
        <w:rPr>
          <w:rFonts w:ascii="Bookman Old Style" w:hAnsi="Bookman Old Style"/>
          <w:sz w:val="22"/>
          <w:szCs w:val="22"/>
        </w:rPr>
        <w:t>.</w:t>
      </w:r>
      <w:r w:rsidR="0021660F">
        <w:rPr>
          <w:rFonts w:ascii="Bookman Old Style" w:hAnsi="Bookman Old Style"/>
          <w:sz w:val="22"/>
          <w:szCs w:val="22"/>
        </w:rPr>
        <w:tab/>
        <w:t>Explain four factors contributing to globalization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</w:t>
      </w:r>
      <w:r w:rsidR="003C4FB3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marks)</w:t>
      </w:r>
    </w:p>
    <w:p w:rsidR="00A572EA" w:rsidRDefault="00A572EA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A572EA" w:rsidRDefault="00A572EA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Identify and discuss the common themes that run through the discourse of globalization.</w:t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 w:rsidR="003C4F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Pr="003C4FB3" w:rsidRDefault="003C4FB3" w:rsidP="005C2984">
      <w:pPr>
        <w:ind w:left="630" w:hanging="630"/>
        <w:jc w:val="both"/>
        <w:rPr>
          <w:rFonts w:ascii="Bookman Old Style" w:hAnsi="Bookman Old Style"/>
          <w:b/>
          <w:sz w:val="22"/>
          <w:szCs w:val="22"/>
        </w:rPr>
      </w:pPr>
      <w:r w:rsidRPr="003C4FB3">
        <w:rPr>
          <w:rFonts w:ascii="Bookman Old Style" w:hAnsi="Bookman Old Style"/>
          <w:b/>
          <w:sz w:val="22"/>
          <w:szCs w:val="22"/>
        </w:rPr>
        <w:t>QUESTION THREE: 15 MARKS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Discuss the five major factors that have contributed to the growth of international 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business.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(15 marks)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Pr="003C4FB3" w:rsidRDefault="003C4FB3" w:rsidP="005C2984">
      <w:pPr>
        <w:ind w:left="630" w:hanging="630"/>
        <w:jc w:val="both"/>
        <w:rPr>
          <w:rFonts w:ascii="Bookman Old Style" w:hAnsi="Bookman Old Style"/>
          <w:b/>
          <w:sz w:val="22"/>
          <w:szCs w:val="22"/>
        </w:rPr>
      </w:pPr>
      <w:r w:rsidRPr="003C4FB3">
        <w:rPr>
          <w:rFonts w:ascii="Bookman Old Style" w:hAnsi="Bookman Old Style"/>
          <w:b/>
          <w:sz w:val="22"/>
          <w:szCs w:val="22"/>
        </w:rPr>
        <w:t>QUESTION FOUR: 15 MARKS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term political instability.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Identify and briefly discuss core areas of business that political instability may affect.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(7 marks)</w:t>
      </w:r>
    </w:p>
    <w:p w:rsidR="003C4FB3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</w:p>
    <w:p w:rsidR="003C4FB3" w:rsidRPr="005C2984" w:rsidRDefault="003C4FB3" w:rsidP="005C2984">
      <w:pPr>
        <w:ind w:left="630" w:hanging="6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Highlight three major common types of political risks in international and what whey can be ??????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sectPr w:rsidR="003C4FB3" w:rsidRPr="005C298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9A1" w:rsidRDefault="008129A1" w:rsidP="00292D76">
      <w:r>
        <w:separator/>
      </w:r>
    </w:p>
  </w:endnote>
  <w:endnote w:type="continuationSeparator" w:id="1">
    <w:p w:rsidR="008129A1" w:rsidRDefault="008129A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D05218" w:rsidRDefault="00B103AE">
        <w:pPr>
          <w:pStyle w:val="Footer"/>
          <w:jc w:val="center"/>
        </w:pPr>
        <w:fldSimple w:instr=" PAGE   \* MERGEFORMAT ">
          <w:r w:rsidR="003C4FB3">
            <w:rPr>
              <w:noProof/>
            </w:rPr>
            <w:t>2</w:t>
          </w:r>
        </w:fldSimple>
      </w:p>
    </w:sdtContent>
  </w:sdt>
  <w:p w:rsidR="00D05218" w:rsidRDefault="00D05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9A1" w:rsidRDefault="008129A1" w:rsidP="00292D76">
      <w:r>
        <w:separator/>
      </w:r>
    </w:p>
  </w:footnote>
  <w:footnote w:type="continuationSeparator" w:id="1">
    <w:p w:rsidR="008129A1" w:rsidRDefault="008129A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18" w:rsidRPr="00914399" w:rsidRDefault="00D05218" w:rsidP="00914399">
    <w:pPr>
      <w:pStyle w:val="Header"/>
    </w:pPr>
  </w:p>
  <w:p w:rsidR="00D05218" w:rsidRDefault="00D05218" w:rsidP="00914399"/>
  <w:p w:rsidR="00D05218" w:rsidRDefault="00D0521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660F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F79"/>
    <w:rsid w:val="003C2D27"/>
    <w:rsid w:val="003C4FB3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C2984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379AE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29A1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572E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3AE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8431F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05218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1FBC"/>
    <w:rsid w:val="00EE1257"/>
    <w:rsid w:val="00EE17B9"/>
    <w:rsid w:val="00EE1BE6"/>
    <w:rsid w:val="00EE1D0B"/>
    <w:rsid w:val="00F027DC"/>
    <w:rsid w:val="00F032B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2019-11-28T12:56:00Z</cp:lastPrinted>
  <dcterms:created xsi:type="dcterms:W3CDTF">2019-11-28T13:12:00Z</dcterms:created>
  <dcterms:modified xsi:type="dcterms:W3CDTF">2019-11-28T13:28:00Z</dcterms:modified>
</cp:coreProperties>
</file>