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1C855" w14:textId="7ED2FCF8" w:rsidR="001835DF" w:rsidRDefault="001835DF" w:rsidP="001F3CEA">
      <w:pPr>
        <w:pStyle w:val="ListParagraph"/>
        <w:numPr>
          <w:ilvl w:val="0"/>
          <w:numId w:val="1"/>
        </w:numPr>
        <w:spacing w:after="0" w:line="240" w:lineRule="auto"/>
        <w:jc w:val="both"/>
        <w:outlineLvl w:val="0"/>
        <w:rPr>
          <w:rFonts w:ascii="Arial Narrow" w:eastAsia="Times New Roman" w:hAnsi="Arial Narrow" w:cs="Arial"/>
          <w:b/>
          <w:kern w:val="36"/>
          <w:sz w:val="28"/>
          <w:szCs w:val="28"/>
        </w:rPr>
      </w:pPr>
      <w:r w:rsidRPr="001835DF">
        <w:rPr>
          <w:rFonts w:ascii="Arial Narrow" w:eastAsia="Times New Roman" w:hAnsi="Arial Narrow" w:cs="Arial"/>
          <w:b/>
          <w:kern w:val="36"/>
          <w:sz w:val="28"/>
          <w:szCs w:val="28"/>
        </w:rPr>
        <w:t>Describe the guidelines that assist system auditors detect and deter fraud occurrences in an organization</w:t>
      </w:r>
    </w:p>
    <w:p w14:paraId="7F3FBA44" w14:textId="4AD9AC6D" w:rsidR="001835DF" w:rsidRDefault="001835DF" w:rsidP="001835DF">
      <w:pPr>
        <w:pStyle w:val="ListParagraph"/>
        <w:spacing w:after="0" w:line="240" w:lineRule="auto"/>
        <w:outlineLvl w:val="0"/>
        <w:rPr>
          <w:rFonts w:ascii="Arial Narrow" w:eastAsia="Times New Roman" w:hAnsi="Arial Narrow" w:cs="Arial"/>
          <w:b/>
          <w:kern w:val="36"/>
          <w:sz w:val="28"/>
          <w:szCs w:val="28"/>
        </w:rPr>
      </w:pPr>
    </w:p>
    <w:p w14:paraId="1BB8B6D4" w14:textId="184AA5B4" w:rsidR="001835DF" w:rsidRDefault="001835DF" w:rsidP="001835DF">
      <w:pPr>
        <w:pStyle w:val="ListParagraph"/>
        <w:spacing w:after="0" w:line="240" w:lineRule="auto"/>
        <w:outlineLvl w:val="0"/>
        <w:rPr>
          <w:rFonts w:ascii="Arial Narrow" w:eastAsia="Times New Roman" w:hAnsi="Arial Narrow" w:cs="Arial"/>
          <w:b/>
          <w:kern w:val="36"/>
          <w:sz w:val="28"/>
          <w:szCs w:val="28"/>
        </w:rPr>
      </w:pPr>
    </w:p>
    <w:p w14:paraId="02C3B732" w14:textId="11272ABE" w:rsidR="001835DF" w:rsidRDefault="001F3CEA" w:rsidP="001835DF">
      <w:pPr>
        <w:pStyle w:val="ListParagraph"/>
        <w:spacing w:after="0" w:line="240" w:lineRule="auto"/>
        <w:outlineLvl w:val="0"/>
        <w:rPr>
          <w:rFonts w:ascii="Arial Narrow" w:hAnsi="Arial Narrow" w:cs="Arial"/>
          <w:color w:val="222222"/>
          <w:sz w:val="24"/>
          <w:szCs w:val="24"/>
          <w:shd w:val="clear" w:color="auto" w:fill="FFFFFF"/>
        </w:rPr>
      </w:pPr>
      <w:r w:rsidRPr="001F3CEA">
        <w:rPr>
          <w:rFonts w:ascii="Arial Narrow" w:eastAsia="Times New Roman" w:hAnsi="Arial Narrow" w:cs="Arial"/>
          <w:kern w:val="36"/>
          <w:sz w:val="24"/>
          <w:szCs w:val="24"/>
        </w:rPr>
        <w:t xml:space="preserve">Auditors enter a </w:t>
      </w:r>
      <w:proofErr w:type="gramStart"/>
      <w:r w:rsidRPr="001F3CEA">
        <w:rPr>
          <w:rFonts w:ascii="Arial Narrow" w:eastAsia="Times New Roman" w:hAnsi="Arial Narrow" w:cs="Arial"/>
          <w:kern w:val="36"/>
          <w:sz w:val="24"/>
          <w:szCs w:val="24"/>
        </w:rPr>
        <w:t>muc</w:t>
      </w:r>
      <w:r>
        <w:rPr>
          <w:rFonts w:ascii="Arial Narrow" w:eastAsia="Times New Roman" w:hAnsi="Arial Narrow" w:cs="Arial"/>
          <w:kern w:val="36"/>
          <w:sz w:val="24"/>
          <w:szCs w:val="24"/>
        </w:rPr>
        <w:t>h</w:t>
      </w:r>
      <w:r w:rsidRPr="001F3CEA">
        <w:rPr>
          <w:rFonts w:ascii="Arial Narrow" w:eastAsia="Times New Roman" w:hAnsi="Arial Narrow" w:cs="Arial"/>
          <w:kern w:val="36"/>
          <w:sz w:val="24"/>
          <w:szCs w:val="24"/>
        </w:rPr>
        <w:t xml:space="preserve"> expanded</w:t>
      </w:r>
      <w:proofErr w:type="gramEnd"/>
      <w:r w:rsidRPr="001F3CEA">
        <w:rPr>
          <w:rFonts w:ascii="Arial Narrow" w:eastAsia="Times New Roman" w:hAnsi="Arial Narrow" w:cs="Arial"/>
          <w:kern w:val="36"/>
          <w:sz w:val="24"/>
          <w:szCs w:val="24"/>
        </w:rPr>
        <w:t xml:space="preserve"> arena of procedures to detect fraud</w:t>
      </w:r>
      <w:r>
        <w:rPr>
          <w:rFonts w:ascii="Arial Narrow" w:eastAsia="Times New Roman" w:hAnsi="Arial Narrow" w:cs="Arial"/>
          <w:kern w:val="36"/>
          <w:sz w:val="24"/>
          <w:szCs w:val="24"/>
        </w:rPr>
        <w:t xml:space="preserve">. Auditors implement the SAS no.99 while carrying out financial auditing in organizations. SAS no. 99 is an auditing statement issued by the Auditing Standards Board </w:t>
      </w:r>
      <w:r w:rsidRPr="001F3CEA">
        <w:rPr>
          <w:rFonts w:ascii="Arial Narrow" w:hAnsi="Arial Narrow" w:cs="Arial"/>
          <w:color w:val="222222"/>
          <w:sz w:val="24"/>
          <w:szCs w:val="24"/>
          <w:shd w:val="clear" w:color="auto" w:fill="FFFFFF"/>
        </w:rPr>
        <w:t>of the </w:t>
      </w:r>
      <w:hyperlink r:id="rId5" w:tooltip="American Institute of Certified Public Accountants" w:history="1">
        <w:r w:rsidRPr="001F3CEA">
          <w:rPr>
            <w:rStyle w:val="Hyperlink"/>
            <w:rFonts w:ascii="Arial Narrow" w:hAnsi="Arial Narrow" w:cs="Arial"/>
            <w:color w:val="000000" w:themeColor="text1"/>
            <w:sz w:val="24"/>
            <w:szCs w:val="24"/>
            <w:u w:val="none"/>
            <w:shd w:val="clear" w:color="auto" w:fill="FFFFFF"/>
          </w:rPr>
          <w:t>American Institute of Certified Public Accountants</w:t>
        </w:r>
      </w:hyperlink>
      <w:r w:rsidRPr="001F3CEA">
        <w:rPr>
          <w:rFonts w:ascii="Arial Narrow" w:hAnsi="Arial Narrow" w:cs="Arial"/>
          <w:color w:val="222222"/>
          <w:sz w:val="24"/>
          <w:szCs w:val="24"/>
          <w:shd w:val="clear" w:color="auto" w:fill="FFFFFF"/>
        </w:rPr>
        <w:t> (AICPA) in October 2002</w:t>
      </w:r>
      <w:r>
        <w:rPr>
          <w:rFonts w:ascii="Arial Narrow" w:hAnsi="Arial Narrow" w:cs="Arial"/>
          <w:color w:val="222222"/>
          <w:sz w:val="24"/>
          <w:szCs w:val="24"/>
          <w:shd w:val="clear" w:color="auto" w:fill="FFFFFF"/>
        </w:rPr>
        <w:t>.</w:t>
      </w:r>
    </w:p>
    <w:p w14:paraId="269F637D" w14:textId="4BB8692F" w:rsidR="001F3CEA" w:rsidRDefault="001F3CEA" w:rsidP="001835DF">
      <w:pPr>
        <w:pStyle w:val="ListParagraph"/>
        <w:spacing w:after="0" w:line="240" w:lineRule="auto"/>
        <w:outlineLvl w:val="0"/>
        <w:rPr>
          <w:rFonts w:ascii="Arial Narrow" w:hAnsi="Arial Narrow" w:cs="Arial"/>
          <w:color w:val="222222"/>
          <w:sz w:val="24"/>
          <w:szCs w:val="24"/>
          <w:shd w:val="clear" w:color="auto" w:fill="FFFFFF"/>
        </w:rPr>
      </w:pPr>
    </w:p>
    <w:p w14:paraId="7CA80171" w14:textId="589BA3B3" w:rsidR="001F3CEA" w:rsidRDefault="001F3CEA" w:rsidP="001835DF">
      <w:pPr>
        <w:pStyle w:val="ListParagraph"/>
        <w:spacing w:after="0" w:line="240" w:lineRule="auto"/>
        <w:outlineLvl w:val="0"/>
        <w:rPr>
          <w:rFonts w:ascii="Arial" w:hAnsi="Arial" w:cs="Arial"/>
          <w:color w:val="222222"/>
          <w:sz w:val="21"/>
          <w:szCs w:val="21"/>
          <w:shd w:val="clear" w:color="auto" w:fill="FFFFFF"/>
        </w:rPr>
      </w:pPr>
      <w:r w:rsidRPr="001F3CEA">
        <w:rPr>
          <w:rFonts w:ascii="Arial Narrow" w:hAnsi="Arial Narrow" w:cs="Arial"/>
          <w:color w:val="222222"/>
          <w:sz w:val="24"/>
          <w:szCs w:val="24"/>
          <w:shd w:val="clear" w:color="auto" w:fill="FFFFFF"/>
        </w:rPr>
        <w:t>SAS 99 defines fraud as an intentional act that results in a material misstatement in financial statements</w:t>
      </w:r>
      <w:r w:rsidR="009D7E14">
        <w:rPr>
          <w:rFonts w:ascii="Arial Narrow" w:hAnsi="Arial Narrow" w:cs="Arial"/>
          <w:color w:val="222222"/>
          <w:sz w:val="24"/>
          <w:szCs w:val="24"/>
          <w:shd w:val="clear" w:color="auto" w:fill="FFFFFF"/>
        </w:rPr>
        <w:t>.</w:t>
      </w:r>
      <w:r w:rsidR="009D7E14" w:rsidRPr="009D7E14">
        <w:rPr>
          <w:rFonts w:ascii="Arial" w:hAnsi="Arial" w:cs="Arial"/>
          <w:color w:val="222222"/>
          <w:sz w:val="21"/>
          <w:szCs w:val="21"/>
          <w:shd w:val="clear" w:color="auto" w:fill="FFFFFF"/>
        </w:rPr>
        <w:t xml:space="preserve"> </w:t>
      </w:r>
      <w:r w:rsidR="009D7E14">
        <w:rPr>
          <w:rFonts w:ascii="Arial" w:hAnsi="Arial" w:cs="Arial"/>
          <w:color w:val="222222"/>
          <w:sz w:val="21"/>
          <w:szCs w:val="21"/>
          <w:shd w:val="clear" w:color="auto" w:fill="FFFFFF"/>
        </w:rPr>
        <w:t>There are two types of fraud considered</w:t>
      </w:r>
      <w:r w:rsidR="009D7E14">
        <w:rPr>
          <w:rFonts w:ascii="Arial" w:hAnsi="Arial" w:cs="Arial"/>
          <w:color w:val="222222"/>
          <w:sz w:val="21"/>
          <w:szCs w:val="21"/>
          <w:shd w:val="clear" w:color="auto" w:fill="FFFFFF"/>
        </w:rPr>
        <w:t>:</w:t>
      </w:r>
    </w:p>
    <w:p w14:paraId="65E3F612" w14:textId="746784C0" w:rsidR="009D7E14" w:rsidRPr="009D7E14" w:rsidRDefault="009D7E14" w:rsidP="009D7E14">
      <w:pPr>
        <w:pStyle w:val="ListParagraph"/>
        <w:numPr>
          <w:ilvl w:val="0"/>
          <w:numId w:val="3"/>
        </w:numPr>
        <w:spacing w:after="0" w:line="240" w:lineRule="auto"/>
        <w:outlineLvl w:val="0"/>
        <w:rPr>
          <w:rFonts w:ascii="Arial Narrow" w:eastAsia="Times New Roman" w:hAnsi="Arial Narrow" w:cs="Arial"/>
          <w:kern w:val="36"/>
          <w:sz w:val="24"/>
          <w:szCs w:val="24"/>
        </w:rPr>
      </w:pPr>
      <w:r w:rsidRPr="009D7E14">
        <w:rPr>
          <w:rFonts w:ascii="Arial Narrow" w:hAnsi="Arial Narrow" w:cs="Arial"/>
          <w:color w:val="222222"/>
          <w:sz w:val="24"/>
          <w:szCs w:val="24"/>
          <w:shd w:val="clear" w:color="auto" w:fill="FFFFFF"/>
        </w:rPr>
        <w:t>M</w:t>
      </w:r>
      <w:r w:rsidRPr="009D7E14">
        <w:rPr>
          <w:rFonts w:ascii="Arial Narrow" w:hAnsi="Arial Narrow" w:cs="Arial"/>
          <w:color w:val="222222"/>
          <w:sz w:val="24"/>
          <w:szCs w:val="24"/>
          <w:shd w:val="clear" w:color="auto" w:fill="FFFFFF"/>
        </w:rPr>
        <w:t>isstatements arising from fraudulent financial reporting</w:t>
      </w:r>
      <w:r w:rsidRPr="009D7E14">
        <w:rPr>
          <w:rFonts w:ascii="Arial Narrow" w:hAnsi="Arial Narrow" w:cs="Arial"/>
          <w:color w:val="222222"/>
          <w:sz w:val="24"/>
          <w:szCs w:val="24"/>
          <w:shd w:val="clear" w:color="auto" w:fill="FFFFFF"/>
        </w:rPr>
        <w:t xml:space="preserve"> for example falsification of accounting records.</w:t>
      </w:r>
    </w:p>
    <w:p w14:paraId="0C23643D" w14:textId="425CA054" w:rsidR="009D7E14" w:rsidRPr="009D7E14" w:rsidRDefault="009D7E14" w:rsidP="009D7E14">
      <w:pPr>
        <w:pStyle w:val="ListParagraph"/>
        <w:numPr>
          <w:ilvl w:val="0"/>
          <w:numId w:val="3"/>
        </w:numPr>
        <w:spacing w:after="0" w:line="240" w:lineRule="auto"/>
        <w:outlineLvl w:val="0"/>
        <w:rPr>
          <w:rFonts w:ascii="Arial Narrow" w:eastAsia="Times New Roman" w:hAnsi="Arial Narrow" w:cs="Arial"/>
          <w:kern w:val="36"/>
          <w:sz w:val="24"/>
          <w:szCs w:val="24"/>
        </w:rPr>
      </w:pPr>
      <w:r w:rsidRPr="009D7E14">
        <w:rPr>
          <w:rFonts w:ascii="Arial Narrow" w:hAnsi="Arial Narrow" w:cs="Arial"/>
          <w:color w:val="222222"/>
          <w:sz w:val="24"/>
          <w:szCs w:val="24"/>
          <w:shd w:val="clear" w:color="auto" w:fill="FFFFFF"/>
        </w:rPr>
        <w:t>M</w:t>
      </w:r>
      <w:r w:rsidRPr="009D7E14">
        <w:rPr>
          <w:rFonts w:ascii="Arial Narrow" w:hAnsi="Arial Narrow" w:cs="Arial"/>
          <w:color w:val="222222"/>
          <w:sz w:val="24"/>
          <w:szCs w:val="24"/>
          <w:shd w:val="clear" w:color="auto" w:fill="FFFFFF"/>
        </w:rPr>
        <w:t>isstatements arising from misappropriation of assets</w:t>
      </w:r>
      <w:r w:rsidRPr="009D7E14">
        <w:rPr>
          <w:rFonts w:ascii="Arial Narrow" w:hAnsi="Arial Narrow" w:cs="Arial"/>
          <w:color w:val="222222"/>
          <w:sz w:val="24"/>
          <w:szCs w:val="24"/>
          <w:shd w:val="clear" w:color="auto" w:fill="FFFFFF"/>
        </w:rPr>
        <w:t xml:space="preserve"> for example </w:t>
      </w:r>
      <w:r w:rsidRPr="009D7E14">
        <w:rPr>
          <w:rFonts w:ascii="Arial Narrow" w:hAnsi="Arial Narrow" w:cs="Arial"/>
          <w:color w:val="222222"/>
          <w:sz w:val="24"/>
          <w:szCs w:val="24"/>
          <w:shd w:val="clear" w:color="auto" w:fill="FFFFFF"/>
        </w:rPr>
        <w:t>theft of assets or fraudulent expenditures</w:t>
      </w:r>
      <w:r w:rsidRPr="009D7E14">
        <w:rPr>
          <w:rFonts w:ascii="Arial Narrow" w:hAnsi="Arial Narrow" w:cs="Arial"/>
          <w:color w:val="222222"/>
          <w:sz w:val="24"/>
          <w:szCs w:val="24"/>
          <w:shd w:val="clear" w:color="auto" w:fill="FFFFFF"/>
        </w:rPr>
        <w:t>.</w:t>
      </w:r>
    </w:p>
    <w:p w14:paraId="6C9C7A0D" w14:textId="7DAF5363" w:rsidR="00D32094" w:rsidRDefault="009D7E14">
      <w:pPr>
        <w:rPr>
          <w:rFonts w:ascii="Arial Narrow" w:hAnsi="Arial Narrow"/>
          <w:sz w:val="24"/>
          <w:szCs w:val="24"/>
        </w:rPr>
      </w:pPr>
      <w:r>
        <w:rPr>
          <w:rFonts w:ascii="Arial Narrow" w:hAnsi="Arial Narrow"/>
          <w:sz w:val="24"/>
          <w:szCs w:val="24"/>
        </w:rPr>
        <w:t xml:space="preserve">             </w:t>
      </w:r>
    </w:p>
    <w:p w14:paraId="4F4A899D" w14:textId="77777777" w:rsidR="00001AFD" w:rsidRDefault="009D7E14">
      <w:pPr>
        <w:rPr>
          <w:rFonts w:ascii="Arial" w:hAnsi="Arial" w:cs="Arial"/>
          <w:color w:val="222222"/>
          <w:sz w:val="21"/>
          <w:szCs w:val="21"/>
          <w:shd w:val="clear" w:color="auto" w:fill="FFFFFF"/>
        </w:rPr>
      </w:pPr>
      <w:r>
        <w:rPr>
          <w:rFonts w:ascii="Arial Narrow" w:hAnsi="Arial Narrow"/>
          <w:sz w:val="24"/>
          <w:szCs w:val="24"/>
        </w:rPr>
        <w:t xml:space="preserve">              </w:t>
      </w:r>
      <w:r>
        <w:rPr>
          <w:rFonts w:ascii="Arial" w:hAnsi="Arial" w:cs="Arial"/>
          <w:color w:val="222222"/>
          <w:sz w:val="21"/>
          <w:szCs w:val="21"/>
          <w:shd w:val="clear" w:color="auto" w:fill="FFFFFF"/>
        </w:rPr>
        <w:t>The standard describes the fraud triangle</w:t>
      </w:r>
      <w:r w:rsidR="00001AFD">
        <w:rPr>
          <w:rFonts w:ascii="Arial" w:hAnsi="Arial" w:cs="Arial"/>
          <w:color w:val="222222"/>
          <w:sz w:val="21"/>
          <w:szCs w:val="21"/>
          <w:shd w:val="clear" w:color="auto" w:fill="FFFFFF"/>
        </w:rPr>
        <w:t>:</w:t>
      </w:r>
    </w:p>
    <w:p w14:paraId="4A1F0329" w14:textId="798E2AAB" w:rsidR="009D7E14" w:rsidRDefault="00001AFD">
      <w:pPr>
        <w:rPr>
          <w:rFonts w:ascii="Arial Narrow" w:hAnsi="Arial Narrow"/>
          <w:sz w:val="24"/>
          <w:szCs w:val="24"/>
        </w:rPr>
      </w:pPr>
      <w:r>
        <w:rPr>
          <w:rFonts w:ascii="Arial Narrow" w:hAnsi="Arial Narrow"/>
          <w:noProof/>
          <w:sz w:val="24"/>
          <w:szCs w:val="24"/>
        </w:rPr>
        <w:drawing>
          <wp:inline distT="0" distB="0" distL="0" distR="0" wp14:anchorId="10AC76FD" wp14:editId="455D2344">
            <wp:extent cx="6256020" cy="323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angle.jpg"/>
                    <pic:cNvPicPr/>
                  </pic:nvPicPr>
                  <pic:blipFill>
                    <a:blip r:embed="rId6">
                      <a:extLst>
                        <a:ext uri="{28A0092B-C50C-407E-A947-70E740481C1C}">
                          <a14:useLocalDpi xmlns:a14="http://schemas.microsoft.com/office/drawing/2010/main" val="0"/>
                        </a:ext>
                      </a:extLst>
                    </a:blip>
                    <a:stretch>
                      <a:fillRect/>
                    </a:stretch>
                  </pic:blipFill>
                  <pic:spPr>
                    <a:xfrm>
                      <a:off x="0" y="0"/>
                      <a:ext cx="6268614" cy="3245019"/>
                    </a:xfrm>
                    <a:prstGeom prst="rect">
                      <a:avLst/>
                    </a:prstGeom>
                  </pic:spPr>
                </pic:pic>
              </a:graphicData>
            </a:graphic>
          </wp:inline>
        </w:drawing>
      </w:r>
    </w:p>
    <w:p w14:paraId="5E07CBC5" w14:textId="18B949A8" w:rsidR="00001AFD" w:rsidRDefault="00F561D7" w:rsidP="00F561D7">
      <w:pPr>
        <w:rPr>
          <w:rFonts w:ascii="Arial Narrow" w:hAnsi="Arial Narrow" w:cs="Arial"/>
          <w:color w:val="222222"/>
          <w:sz w:val="24"/>
          <w:szCs w:val="24"/>
          <w:shd w:val="clear" w:color="auto" w:fill="FFFFFF"/>
        </w:rPr>
      </w:pPr>
      <w:r>
        <w:rPr>
          <w:rFonts w:ascii="Arial Narrow" w:hAnsi="Arial Narrow" w:cs="Arial"/>
          <w:color w:val="222222"/>
          <w:sz w:val="24"/>
          <w:szCs w:val="24"/>
          <w:shd w:val="clear" w:color="auto" w:fill="FFFFFF"/>
        </w:rPr>
        <w:t xml:space="preserve">             </w:t>
      </w:r>
      <w:r w:rsidR="00001AFD" w:rsidRPr="00F561D7">
        <w:rPr>
          <w:rFonts w:ascii="Arial Narrow" w:hAnsi="Arial Narrow" w:cs="Arial"/>
          <w:color w:val="222222"/>
          <w:sz w:val="24"/>
          <w:szCs w:val="24"/>
          <w:shd w:val="clear" w:color="auto" w:fill="FFFFFF"/>
        </w:rPr>
        <w:t xml:space="preserve">Generally, the three 'fraud triangle' conditions are present when fraud occurs. First, there is an incentive or </w:t>
      </w:r>
      <w:r>
        <w:rPr>
          <w:rFonts w:ascii="Arial Narrow" w:hAnsi="Arial Narrow" w:cs="Arial"/>
          <w:color w:val="222222"/>
          <w:sz w:val="24"/>
          <w:szCs w:val="24"/>
          <w:shd w:val="clear" w:color="auto" w:fill="FFFFFF"/>
        </w:rPr>
        <w:t xml:space="preserve">     </w:t>
      </w:r>
      <w:r w:rsidR="00001AFD" w:rsidRPr="00F561D7">
        <w:rPr>
          <w:rFonts w:ascii="Arial Narrow" w:hAnsi="Arial Narrow" w:cs="Arial"/>
          <w:color w:val="222222"/>
          <w:sz w:val="24"/>
          <w:szCs w:val="24"/>
          <w:shd w:val="clear" w:color="auto" w:fill="FFFFFF"/>
        </w:rPr>
        <w:t>pressure that provides a reason to commit fraud. Second, there is an opportunity for fraud to be perpetrated (e.g. absence of controls, ineffective controls, or the ability of management to override controls.) Third, the individuals committing the fraud possess an attitude that enables them to rationalize the fraud.</w:t>
      </w:r>
    </w:p>
    <w:p w14:paraId="7166C9D7" w14:textId="1D289F17" w:rsidR="00F561D7" w:rsidRDefault="00F561D7" w:rsidP="00F561D7">
      <w:pPr>
        <w:rPr>
          <w:rFonts w:ascii="Arial Narrow" w:hAnsi="Arial Narrow" w:cs="Arial"/>
          <w:color w:val="222222"/>
          <w:sz w:val="24"/>
          <w:szCs w:val="24"/>
          <w:shd w:val="clear" w:color="auto" w:fill="FFFFFF"/>
        </w:rPr>
      </w:pPr>
    </w:p>
    <w:p w14:paraId="3A6BFDE3" w14:textId="0CAD9EC7" w:rsidR="00F561D7" w:rsidRPr="005D2C9F" w:rsidRDefault="00F561D7" w:rsidP="00F561D7">
      <w:pPr>
        <w:rPr>
          <w:rFonts w:ascii="Arial Narrow" w:hAnsi="Arial Narrow" w:cs="Arial"/>
          <w:b/>
          <w:color w:val="222222"/>
          <w:sz w:val="28"/>
          <w:szCs w:val="28"/>
          <w:u w:val="single"/>
          <w:shd w:val="clear" w:color="auto" w:fill="FFFFFF"/>
        </w:rPr>
      </w:pPr>
      <w:r w:rsidRPr="005D2C9F">
        <w:rPr>
          <w:rFonts w:ascii="Arial Narrow" w:hAnsi="Arial Narrow" w:cs="Arial"/>
          <w:color w:val="222222"/>
          <w:sz w:val="28"/>
          <w:szCs w:val="28"/>
          <w:shd w:val="clear" w:color="auto" w:fill="FFFFFF"/>
        </w:rPr>
        <w:lastRenderedPageBreak/>
        <w:t xml:space="preserve">                                                              </w:t>
      </w:r>
      <w:r w:rsidRPr="005D2C9F">
        <w:rPr>
          <w:rFonts w:ascii="Arial Narrow" w:hAnsi="Arial Narrow" w:cs="Arial"/>
          <w:b/>
          <w:color w:val="222222"/>
          <w:sz w:val="28"/>
          <w:szCs w:val="28"/>
          <w:u w:val="single"/>
          <w:shd w:val="clear" w:color="auto" w:fill="FFFFFF"/>
        </w:rPr>
        <w:t>THE GUIDELINES</w:t>
      </w:r>
    </w:p>
    <w:p w14:paraId="0C8E2755" w14:textId="7BB0ED1D" w:rsidR="00F561D7" w:rsidRDefault="00F561D7" w:rsidP="00F561D7">
      <w:pPr>
        <w:rPr>
          <w:rFonts w:ascii="Arial Narrow" w:hAnsi="Arial Narrow" w:cs="Arial"/>
          <w:b/>
          <w:color w:val="222222"/>
          <w:sz w:val="24"/>
          <w:szCs w:val="24"/>
          <w:u w:val="single"/>
          <w:shd w:val="clear" w:color="auto" w:fill="FFFFFF"/>
        </w:rPr>
      </w:pPr>
    </w:p>
    <w:p w14:paraId="4D8573E9" w14:textId="734D349E" w:rsidR="00F561D7" w:rsidRDefault="005D2C9F" w:rsidP="005D2C9F">
      <w:pPr>
        <w:pStyle w:val="ListParagraph"/>
        <w:numPr>
          <w:ilvl w:val="0"/>
          <w:numId w:val="4"/>
        </w:numPr>
        <w:rPr>
          <w:rFonts w:ascii="Arial Narrow" w:hAnsi="Arial Narrow"/>
          <w:b/>
          <w:sz w:val="24"/>
          <w:szCs w:val="24"/>
        </w:rPr>
      </w:pPr>
      <w:r w:rsidRPr="005D2C9F">
        <w:rPr>
          <w:rFonts w:ascii="Arial Narrow" w:hAnsi="Arial Narrow"/>
          <w:b/>
          <w:sz w:val="24"/>
          <w:szCs w:val="24"/>
        </w:rPr>
        <w:t>PROFESSIONAL SKEPTICISM</w:t>
      </w:r>
    </w:p>
    <w:p w14:paraId="73E8998A" w14:textId="7EF15056" w:rsidR="005D2C9F" w:rsidRDefault="005D2C9F" w:rsidP="005D2C9F">
      <w:pPr>
        <w:pStyle w:val="ListParagraph"/>
        <w:ind w:left="1440"/>
        <w:rPr>
          <w:rFonts w:ascii="Arial Narrow" w:hAnsi="Arial Narrow"/>
          <w:b/>
          <w:sz w:val="24"/>
          <w:szCs w:val="24"/>
        </w:rPr>
      </w:pPr>
      <w:r>
        <w:rPr>
          <w:rFonts w:ascii="Arial Narrow" w:hAnsi="Arial Narrow"/>
          <w:b/>
          <w:sz w:val="24"/>
          <w:szCs w:val="24"/>
        </w:rPr>
        <w:t xml:space="preserve">                                                  </w:t>
      </w:r>
    </w:p>
    <w:p w14:paraId="0AA402A9" w14:textId="2F907209" w:rsidR="005D2C9F" w:rsidRDefault="005D2C9F" w:rsidP="005D2C9F">
      <w:pPr>
        <w:pStyle w:val="ListParagraph"/>
        <w:ind w:left="1440"/>
        <w:rPr>
          <w:rFonts w:ascii="Arial Narrow" w:hAnsi="Arial Narrow"/>
          <w:sz w:val="24"/>
          <w:szCs w:val="24"/>
        </w:rPr>
      </w:pPr>
      <w:r>
        <w:rPr>
          <w:rFonts w:ascii="Arial Narrow" w:hAnsi="Arial Narrow"/>
          <w:b/>
          <w:sz w:val="24"/>
          <w:szCs w:val="24"/>
        </w:rPr>
        <w:t xml:space="preserve"> </w:t>
      </w:r>
      <w:r w:rsidRPr="005D2C9F">
        <w:rPr>
          <w:rFonts w:ascii="Arial Narrow" w:hAnsi="Arial Narrow"/>
          <w:sz w:val="24"/>
          <w:szCs w:val="24"/>
        </w:rPr>
        <w:t>The auditor must set aside past relationships and not assume that all clients are honest. The new standard provides suggestions on how auditors can learn how to adopt a more critical, skeptical mind-set on their engagements, particularly during audit planning and the evaluation of audit evidence.</w:t>
      </w:r>
    </w:p>
    <w:p w14:paraId="537389A0" w14:textId="03EFC95B" w:rsidR="005D2C9F" w:rsidRPr="005D2C9F" w:rsidRDefault="005D2C9F" w:rsidP="005D2C9F">
      <w:pPr>
        <w:pStyle w:val="ListParagraph"/>
        <w:numPr>
          <w:ilvl w:val="0"/>
          <w:numId w:val="4"/>
        </w:numPr>
        <w:rPr>
          <w:rFonts w:ascii="Arial Narrow" w:hAnsi="Arial Narrow"/>
          <w:b/>
          <w:sz w:val="24"/>
          <w:szCs w:val="24"/>
        </w:rPr>
      </w:pPr>
      <w:r w:rsidRPr="005D2C9F">
        <w:rPr>
          <w:rFonts w:ascii="Arial Narrow" w:hAnsi="Arial Narrow" w:cs="Arial"/>
          <w:b/>
          <w:bCs/>
          <w:color w:val="444444"/>
          <w:sz w:val="24"/>
          <w:szCs w:val="24"/>
          <w:shd w:val="clear" w:color="auto" w:fill="FFFFFF"/>
        </w:rPr>
        <w:t>PLANNING ANALYTICAL PROCEDURES </w:t>
      </w:r>
    </w:p>
    <w:p w14:paraId="210C4AAD" w14:textId="2AD0FF66" w:rsidR="005D2C9F" w:rsidRDefault="005D2C9F" w:rsidP="005D2C9F">
      <w:pPr>
        <w:pStyle w:val="ListParagraph"/>
        <w:ind w:left="1440"/>
        <w:rPr>
          <w:rFonts w:ascii="Arial Narrow" w:hAnsi="Arial Narrow" w:cs="Arial"/>
          <w:bCs/>
          <w:color w:val="444444"/>
          <w:sz w:val="24"/>
          <w:szCs w:val="24"/>
          <w:shd w:val="clear" w:color="auto" w:fill="FFFFFF"/>
        </w:rPr>
      </w:pPr>
      <w:r>
        <w:rPr>
          <w:rFonts w:ascii="Arial Narrow" w:hAnsi="Arial Narrow" w:cs="Arial"/>
          <w:b/>
          <w:bCs/>
          <w:color w:val="444444"/>
          <w:sz w:val="24"/>
          <w:szCs w:val="24"/>
          <w:shd w:val="clear" w:color="auto" w:fill="FFFFFF"/>
        </w:rPr>
        <w:t xml:space="preserve">   </w:t>
      </w:r>
      <w:r w:rsidRPr="005D2C9F">
        <w:rPr>
          <w:rFonts w:ascii="Arial Narrow" w:hAnsi="Arial Narrow" w:cs="Arial"/>
          <w:bCs/>
          <w:color w:val="444444"/>
          <w:sz w:val="24"/>
          <w:szCs w:val="24"/>
          <w:shd w:val="clear" w:color="auto" w:fill="FFFFFF"/>
        </w:rPr>
        <w:t>SAS no. 99 says the auditor should consider the results of analytical procedures in identifying the risks of material misstatement caused by fraud, and the standard provides a list of procedures auditors can employ that may indicate the presence of such risks.</w:t>
      </w:r>
    </w:p>
    <w:p w14:paraId="36D4D099" w14:textId="77777777" w:rsidR="00256551" w:rsidRPr="00256551" w:rsidRDefault="00B84C4D" w:rsidP="00256551">
      <w:pPr>
        <w:pStyle w:val="ListParagraph"/>
        <w:numPr>
          <w:ilvl w:val="0"/>
          <w:numId w:val="4"/>
        </w:numPr>
        <w:rPr>
          <w:rFonts w:ascii="Arial Narrow" w:hAnsi="Arial Narrow"/>
          <w:sz w:val="24"/>
          <w:szCs w:val="24"/>
        </w:rPr>
      </w:pPr>
      <w:r w:rsidRPr="00256551">
        <w:rPr>
          <w:rFonts w:ascii="Arial Narrow" w:hAnsi="Arial Narrow" w:cs="Arial"/>
          <w:b/>
          <w:bCs/>
          <w:color w:val="444444"/>
          <w:sz w:val="24"/>
          <w:szCs w:val="24"/>
          <w:shd w:val="clear" w:color="auto" w:fill="FFFFFF"/>
        </w:rPr>
        <w:t>ADDRESS SPECIFIC ACCOUNTS OR CLASSES OF TRANSACTIONS</w:t>
      </w:r>
    </w:p>
    <w:p w14:paraId="095AB0B1" w14:textId="67AF1F3B" w:rsidR="005D2C9F" w:rsidRDefault="00256551" w:rsidP="00256551">
      <w:pPr>
        <w:pStyle w:val="ListParagraph"/>
        <w:ind w:left="1440"/>
        <w:rPr>
          <w:rFonts w:ascii="Arial Narrow" w:hAnsi="Arial Narrow" w:cs="Arial"/>
          <w:color w:val="444444"/>
          <w:sz w:val="23"/>
          <w:szCs w:val="23"/>
          <w:shd w:val="clear" w:color="auto" w:fill="FFFFFF"/>
        </w:rPr>
      </w:pPr>
      <w:r w:rsidRPr="00256551">
        <w:rPr>
          <w:rFonts w:ascii="Arial Narrow" w:hAnsi="Arial Narrow" w:cs="Arial"/>
          <w:color w:val="444444"/>
          <w:sz w:val="23"/>
          <w:szCs w:val="23"/>
          <w:shd w:val="clear" w:color="auto" w:fill="FFFFFF"/>
        </w:rPr>
        <w:t xml:space="preserve"> </w:t>
      </w:r>
      <w:r w:rsidRPr="00256551">
        <w:rPr>
          <w:rFonts w:ascii="Arial Narrow" w:hAnsi="Arial Narrow" w:cs="Arial"/>
          <w:color w:val="444444"/>
          <w:sz w:val="23"/>
          <w:szCs w:val="23"/>
          <w:shd w:val="clear" w:color="auto" w:fill="FFFFFF"/>
        </w:rPr>
        <w:t xml:space="preserve">SAS no. 99 provides general guidance on modifying the nature, timing and extent of the audit procedures you will perform to address identified risks of material misstatement due to fraud. Three other audit areas merit special mention: revenue recognition, inventory quantities and accounting estimates, which can go hand in hand </w:t>
      </w:r>
      <w:r w:rsidRPr="00256551">
        <w:rPr>
          <w:rFonts w:ascii="Arial Narrow" w:hAnsi="Arial Narrow" w:cs="Arial"/>
          <w:color w:val="444444"/>
          <w:sz w:val="23"/>
          <w:szCs w:val="23"/>
          <w:shd w:val="clear" w:color="auto" w:fill="FFFFFF"/>
        </w:rPr>
        <w:t xml:space="preserve">   </w:t>
      </w:r>
      <w:r w:rsidRPr="00256551">
        <w:rPr>
          <w:rFonts w:ascii="Arial Narrow" w:hAnsi="Arial Narrow" w:cs="Arial"/>
          <w:color w:val="444444"/>
          <w:sz w:val="23"/>
          <w:szCs w:val="23"/>
          <w:shd w:val="clear" w:color="auto" w:fill="FFFFFF"/>
        </w:rPr>
        <w:t>with fraud and therefore can be interrelated</w:t>
      </w:r>
    </w:p>
    <w:p w14:paraId="444E0DC0" w14:textId="4F46A2A7" w:rsidR="00256551" w:rsidRPr="00256551" w:rsidRDefault="00256551" w:rsidP="00256551">
      <w:pPr>
        <w:pStyle w:val="ListParagraph"/>
        <w:numPr>
          <w:ilvl w:val="0"/>
          <w:numId w:val="4"/>
        </w:numPr>
        <w:rPr>
          <w:rFonts w:ascii="Arial Narrow" w:hAnsi="Arial Narrow"/>
          <w:sz w:val="24"/>
          <w:szCs w:val="24"/>
        </w:rPr>
      </w:pPr>
      <w:r w:rsidRPr="00256551">
        <w:rPr>
          <w:rFonts w:ascii="Arial Narrow" w:hAnsi="Arial Narrow" w:cs="Arial"/>
          <w:b/>
          <w:bCs/>
          <w:color w:val="444444"/>
          <w:sz w:val="24"/>
          <w:szCs w:val="24"/>
          <w:shd w:val="clear" w:color="auto" w:fill="FFFFFF"/>
        </w:rPr>
        <w:t>RETROSPECTIVE REVIEW OF ACCOUNTING ESTIMATES </w:t>
      </w:r>
    </w:p>
    <w:p w14:paraId="63DAB20A" w14:textId="2EFDBD4D" w:rsidR="00256551" w:rsidRDefault="00256551" w:rsidP="00256551">
      <w:pPr>
        <w:pStyle w:val="ListParagraph"/>
        <w:ind w:left="1440"/>
        <w:rPr>
          <w:rFonts w:ascii="Arial Narrow" w:hAnsi="Arial Narrow" w:cs="Arial"/>
          <w:color w:val="444444"/>
          <w:sz w:val="24"/>
          <w:szCs w:val="24"/>
          <w:shd w:val="clear" w:color="auto" w:fill="FFFFFF"/>
        </w:rPr>
      </w:pPr>
      <w:r w:rsidRPr="00256551">
        <w:rPr>
          <w:rFonts w:ascii="Arial Narrow" w:hAnsi="Arial Narrow" w:cs="Arial"/>
          <w:color w:val="444444"/>
          <w:sz w:val="24"/>
          <w:szCs w:val="24"/>
          <w:shd w:val="clear" w:color="auto" w:fill="FFFFFF"/>
        </w:rPr>
        <w:t>Accounting estimates are particularly vulnerable to manipulation because they depend heavily on judgment and the quality of the underlying assumptions. SAS no. 99 requires you to perform a retrospective review of prior-year accounting estimates for the purpose of identifying bias in management’s assumptions underlying the estimates. This review is not intended to call into question your professional judgments made in prior years that were based on information available only at that time. Rather, it should be considered within the context of its implications for the current-year audit and the facts and circumstances that currently exist.</w:t>
      </w:r>
    </w:p>
    <w:p w14:paraId="5753ED57" w14:textId="5C4B63FD" w:rsidR="00256551" w:rsidRPr="00256551" w:rsidRDefault="00256551" w:rsidP="00256551">
      <w:pPr>
        <w:pStyle w:val="ListParagraph"/>
        <w:numPr>
          <w:ilvl w:val="0"/>
          <w:numId w:val="4"/>
        </w:numPr>
        <w:rPr>
          <w:rFonts w:ascii="Arial Narrow" w:hAnsi="Arial Narrow"/>
          <w:sz w:val="24"/>
          <w:szCs w:val="24"/>
        </w:rPr>
      </w:pPr>
      <w:r w:rsidRPr="00256551">
        <w:rPr>
          <w:rFonts w:ascii="Arial Narrow" w:hAnsi="Arial Narrow" w:cs="Arial"/>
          <w:b/>
          <w:bCs/>
          <w:color w:val="444444"/>
          <w:sz w:val="24"/>
          <w:szCs w:val="24"/>
          <w:shd w:val="clear" w:color="auto" w:fill="FFFFFF"/>
        </w:rPr>
        <w:t>COMMUNICATIONS </w:t>
      </w:r>
    </w:p>
    <w:p w14:paraId="5347C0F8" w14:textId="75E3A55E" w:rsidR="00256551" w:rsidRDefault="00256551" w:rsidP="00256551">
      <w:pPr>
        <w:pStyle w:val="ListParagraph"/>
        <w:ind w:left="1440"/>
        <w:rPr>
          <w:rFonts w:ascii="Arial Narrow" w:hAnsi="Arial Narrow" w:cs="Arial"/>
          <w:color w:val="444444"/>
          <w:sz w:val="24"/>
          <w:szCs w:val="24"/>
          <w:shd w:val="clear" w:color="auto" w:fill="FFFFFF"/>
        </w:rPr>
      </w:pPr>
      <w:r w:rsidRPr="00256551">
        <w:rPr>
          <w:rFonts w:ascii="Arial Narrow" w:hAnsi="Arial Narrow" w:cs="Arial"/>
          <w:color w:val="444444"/>
          <w:sz w:val="24"/>
          <w:szCs w:val="24"/>
          <w:shd w:val="clear" w:color="auto" w:fill="FFFFFF"/>
        </w:rPr>
        <w:t>SAS no. 99 says, “Whenever you have determined that there is evidence that a fraud may exist, that matter should be brought to the attention of the proper level of management. This is appropriate even if the matter might be considered inconsequential, such as a minor defalcation by an employee at a low level in the entity’s organization.” Thus, the threshold for communication is “evidence that a fraud may exist.” The mere presence of a fraud risk factor or some other condition that has been observed when fraud is present generally does </w:t>
      </w:r>
      <w:r w:rsidRPr="00256551">
        <w:rPr>
          <w:rFonts w:ascii="Arial Narrow" w:hAnsi="Arial Narrow" w:cs="Arial"/>
          <w:i/>
          <w:iCs/>
          <w:color w:val="444444"/>
          <w:sz w:val="24"/>
          <w:szCs w:val="24"/>
          <w:shd w:val="clear" w:color="auto" w:fill="FFFFFF"/>
        </w:rPr>
        <w:t>not </w:t>
      </w:r>
      <w:r w:rsidRPr="00256551">
        <w:rPr>
          <w:rFonts w:ascii="Arial Narrow" w:hAnsi="Arial Narrow" w:cs="Arial"/>
          <w:color w:val="444444"/>
          <w:sz w:val="24"/>
          <w:szCs w:val="24"/>
          <w:shd w:val="clear" w:color="auto" w:fill="FFFFFF"/>
        </w:rPr>
        <w:t>meet this threshold.</w:t>
      </w:r>
    </w:p>
    <w:p w14:paraId="394BF7D7" w14:textId="4D28048C" w:rsidR="00256551" w:rsidRPr="00256551" w:rsidRDefault="00256551" w:rsidP="00256551">
      <w:pPr>
        <w:pStyle w:val="ListParagraph"/>
        <w:numPr>
          <w:ilvl w:val="0"/>
          <w:numId w:val="4"/>
        </w:numPr>
        <w:rPr>
          <w:rFonts w:ascii="Arial Narrow" w:hAnsi="Arial Narrow"/>
          <w:sz w:val="24"/>
          <w:szCs w:val="24"/>
        </w:rPr>
      </w:pPr>
      <w:r w:rsidRPr="00256551">
        <w:rPr>
          <w:rFonts w:ascii="Arial Narrow" w:hAnsi="Arial Narrow" w:cs="Arial"/>
          <w:b/>
          <w:bCs/>
          <w:color w:val="444444"/>
          <w:sz w:val="24"/>
          <w:szCs w:val="24"/>
          <w:shd w:val="clear" w:color="auto" w:fill="FFFFFF"/>
        </w:rPr>
        <w:t>DOCUMENTATION </w:t>
      </w:r>
    </w:p>
    <w:p w14:paraId="134350A5" w14:textId="6D8E1A2B" w:rsidR="00256551" w:rsidRDefault="00256551" w:rsidP="00256551">
      <w:pPr>
        <w:pStyle w:val="ListParagraph"/>
        <w:ind w:left="1440"/>
        <w:rPr>
          <w:rFonts w:ascii="Arial Narrow" w:hAnsi="Arial Narrow" w:cs="Arial"/>
          <w:color w:val="444444"/>
          <w:sz w:val="24"/>
          <w:szCs w:val="24"/>
          <w:shd w:val="clear" w:color="auto" w:fill="FFFFFF"/>
        </w:rPr>
      </w:pPr>
      <w:r w:rsidRPr="00256551">
        <w:rPr>
          <w:rFonts w:ascii="Arial Narrow" w:hAnsi="Arial Narrow" w:cs="Arial"/>
          <w:color w:val="444444"/>
          <w:sz w:val="24"/>
          <w:szCs w:val="24"/>
          <w:shd w:val="clear" w:color="auto" w:fill="FFFFFF"/>
        </w:rPr>
        <w:t>The documentation requirements of SAS no. 99 significantly extend those of the previous standard, requiring documentation supporting compliance with substantially all the major requirements of the standard. SAS no. 99 provides a complete, easy-to-understand list of documentation requirements.</w:t>
      </w:r>
    </w:p>
    <w:p w14:paraId="7F8EDE0D" w14:textId="26E9916F" w:rsidR="00256551" w:rsidRDefault="00256551" w:rsidP="00256551">
      <w:pPr>
        <w:pStyle w:val="ListParagraph"/>
        <w:ind w:left="1440"/>
        <w:rPr>
          <w:rFonts w:ascii="Arial Narrow" w:hAnsi="Arial Narrow" w:cs="Arial"/>
          <w:color w:val="444444"/>
          <w:sz w:val="24"/>
          <w:szCs w:val="24"/>
          <w:shd w:val="clear" w:color="auto" w:fill="FFFFFF"/>
        </w:rPr>
      </w:pPr>
    </w:p>
    <w:p w14:paraId="697D1AC6" w14:textId="7F791AC2" w:rsidR="00256551" w:rsidRDefault="00256551" w:rsidP="00256551">
      <w:pPr>
        <w:pStyle w:val="ListParagraph"/>
        <w:ind w:left="1440"/>
        <w:rPr>
          <w:rFonts w:ascii="Arial Narrow" w:hAnsi="Arial Narrow" w:cs="Arial"/>
          <w:color w:val="444444"/>
          <w:sz w:val="24"/>
          <w:szCs w:val="24"/>
          <w:shd w:val="clear" w:color="auto" w:fill="FFFFFF"/>
        </w:rPr>
      </w:pPr>
    </w:p>
    <w:p w14:paraId="4CB42903" w14:textId="30B13FFD" w:rsidR="00256551" w:rsidRDefault="00256551" w:rsidP="00256551">
      <w:pPr>
        <w:pStyle w:val="ListParagraph"/>
        <w:ind w:left="1440"/>
        <w:rPr>
          <w:rFonts w:ascii="Arial Narrow" w:hAnsi="Arial Narrow" w:cs="Arial"/>
          <w:b/>
          <w:color w:val="444444"/>
          <w:sz w:val="24"/>
          <w:szCs w:val="24"/>
          <w:u w:val="single"/>
          <w:shd w:val="clear" w:color="auto" w:fill="FFFFFF"/>
        </w:rPr>
      </w:pPr>
      <w:r w:rsidRPr="00256551">
        <w:rPr>
          <w:rFonts w:ascii="Arial Narrow" w:hAnsi="Arial Narrow" w:cs="Arial"/>
          <w:b/>
          <w:color w:val="444444"/>
          <w:sz w:val="24"/>
          <w:szCs w:val="24"/>
          <w:u w:val="single"/>
          <w:shd w:val="clear" w:color="auto" w:fill="FFFFFF"/>
        </w:rPr>
        <w:lastRenderedPageBreak/>
        <w:t>According to the standard, you are required to document</w:t>
      </w:r>
    </w:p>
    <w:p w14:paraId="1AF0978B" w14:textId="1AF25FAD" w:rsidR="00256551" w:rsidRDefault="00256551" w:rsidP="00256551">
      <w:pPr>
        <w:pStyle w:val="ListParagraph"/>
        <w:ind w:left="1440"/>
        <w:rPr>
          <w:rFonts w:ascii="Arial Narrow" w:hAnsi="Arial Narrow" w:cs="Arial"/>
          <w:b/>
          <w:color w:val="444444"/>
          <w:sz w:val="24"/>
          <w:szCs w:val="24"/>
          <w:u w:val="single"/>
          <w:shd w:val="clear" w:color="auto" w:fill="FFFFFF"/>
        </w:rPr>
      </w:pPr>
    </w:p>
    <w:p w14:paraId="5F4D41D1" w14:textId="6118EF66" w:rsidR="00256551" w:rsidRPr="00256551" w:rsidRDefault="00256551" w:rsidP="00256551">
      <w:pPr>
        <w:pStyle w:val="ListParagraph"/>
        <w:numPr>
          <w:ilvl w:val="0"/>
          <w:numId w:val="5"/>
        </w:numPr>
        <w:rPr>
          <w:rFonts w:ascii="Arial Narrow" w:hAnsi="Arial Narrow"/>
          <w:b/>
          <w:sz w:val="24"/>
          <w:szCs w:val="24"/>
          <w:u w:val="single"/>
        </w:rPr>
      </w:pPr>
      <w:r w:rsidRPr="00256551">
        <w:rPr>
          <w:rFonts w:ascii="Arial Narrow" w:hAnsi="Arial Narrow" w:cs="Arial"/>
          <w:color w:val="444444"/>
          <w:sz w:val="24"/>
          <w:szCs w:val="24"/>
          <w:shd w:val="clear" w:color="auto" w:fill="FFFFFF"/>
        </w:rPr>
        <w:t>The discussion among engagement personnel in planning the audit regarding the susceptibility of the entity’s financial statements to material misstatement due to fraud, including how and when the discussion occurred, the audit team members who participated and the subjects discussed.</w:t>
      </w:r>
    </w:p>
    <w:p w14:paraId="14A4F7D8" w14:textId="0A7A7C87" w:rsidR="00256551" w:rsidRPr="00256551" w:rsidRDefault="00256551" w:rsidP="00256551">
      <w:pPr>
        <w:pStyle w:val="ListParagraph"/>
        <w:numPr>
          <w:ilvl w:val="0"/>
          <w:numId w:val="5"/>
        </w:numPr>
        <w:rPr>
          <w:rFonts w:ascii="Arial Narrow" w:hAnsi="Arial Narrow"/>
          <w:b/>
          <w:sz w:val="24"/>
          <w:szCs w:val="24"/>
          <w:u w:val="single"/>
        </w:rPr>
      </w:pPr>
      <w:r w:rsidRPr="00256551">
        <w:rPr>
          <w:rFonts w:ascii="Arial Narrow" w:hAnsi="Arial Narrow" w:cs="Arial"/>
          <w:color w:val="444444"/>
          <w:sz w:val="24"/>
          <w:szCs w:val="24"/>
          <w:shd w:val="clear" w:color="auto" w:fill="FFFFFF"/>
        </w:rPr>
        <w:t>The procedures performed to obtain information necessary to identify and assess the risks of material misstatement due to fraud.</w:t>
      </w:r>
    </w:p>
    <w:p w14:paraId="180809E2" w14:textId="7C164E5D" w:rsidR="00256551" w:rsidRPr="00256551" w:rsidRDefault="00256551" w:rsidP="00256551">
      <w:pPr>
        <w:pStyle w:val="ListParagraph"/>
        <w:numPr>
          <w:ilvl w:val="0"/>
          <w:numId w:val="5"/>
        </w:numPr>
        <w:rPr>
          <w:rFonts w:ascii="Arial Narrow" w:hAnsi="Arial Narrow"/>
          <w:b/>
          <w:sz w:val="24"/>
          <w:szCs w:val="24"/>
          <w:u w:val="single"/>
        </w:rPr>
      </w:pPr>
      <w:r w:rsidRPr="00256551">
        <w:rPr>
          <w:rFonts w:ascii="Arial Narrow" w:hAnsi="Arial Narrow" w:cs="Arial"/>
          <w:color w:val="444444"/>
          <w:sz w:val="24"/>
          <w:szCs w:val="24"/>
          <w:shd w:val="clear" w:color="auto" w:fill="FFFFFF"/>
        </w:rPr>
        <w:t>Specific risks of material misstatement due to fraud that were identified and a description of the auditor’s response to those risks.</w:t>
      </w:r>
    </w:p>
    <w:p w14:paraId="7EC93101" w14:textId="1977A66E" w:rsidR="00256551" w:rsidRPr="00256551" w:rsidRDefault="00256551" w:rsidP="00256551">
      <w:pPr>
        <w:pStyle w:val="ListParagraph"/>
        <w:numPr>
          <w:ilvl w:val="0"/>
          <w:numId w:val="5"/>
        </w:numPr>
        <w:rPr>
          <w:rFonts w:ascii="Arial Narrow" w:hAnsi="Arial Narrow"/>
          <w:b/>
          <w:sz w:val="24"/>
          <w:szCs w:val="24"/>
          <w:u w:val="single"/>
        </w:rPr>
      </w:pPr>
      <w:r w:rsidRPr="00256551">
        <w:rPr>
          <w:rFonts w:ascii="Arial Narrow" w:hAnsi="Arial Narrow" w:cs="Arial"/>
          <w:color w:val="444444"/>
          <w:sz w:val="24"/>
          <w:szCs w:val="24"/>
          <w:shd w:val="clear" w:color="auto" w:fill="FFFFFF"/>
        </w:rPr>
        <w:t>If the auditor has not identified improper revenue recognition as a risk of material misstatement due to fraud in a particular circumstance, the reasons supporting that conclusion.</w:t>
      </w:r>
    </w:p>
    <w:p w14:paraId="1E387E57" w14:textId="32193058" w:rsidR="00256551" w:rsidRPr="00256551" w:rsidRDefault="00256551" w:rsidP="00256551">
      <w:pPr>
        <w:pStyle w:val="ListParagraph"/>
        <w:numPr>
          <w:ilvl w:val="0"/>
          <w:numId w:val="5"/>
        </w:numPr>
        <w:rPr>
          <w:rFonts w:ascii="Arial Narrow" w:hAnsi="Arial Narrow"/>
          <w:b/>
          <w:sz w:val="24"/>
          <w:szCs w:val="24"/>
          <w:u w:val="single"/>
        </w:rPr>
      </w:pPr>
      <w:bookmarkStart w:id="0" w:name="_GoBack"/>
      <w:bookmarkEnd w:id="0"/>
      <w:r w:rsidRPr="00256551">
        <w:rPr>
          <w:rFonts w:ascii="Arial Narrow" w:hAnsi="Arial Narrow" w:cs="Arial"/>
          <w:color w:val="444444"/>
          <w:sz w:val="24"/>
          <w:szCs w:val="24"/>
          <w:shd w:val="clear" w:color="auto" w:fill="FFFFFF"/>
        </w:rPr>
        <w:t>The results of the procedures performed to further address the risk of management override of controls.</w:t>
      </w:r>
    </w:p>
    <w:p w14:paraId="0B606A3A" w14:textId="1AFA51A9" w:rsidR="00256551" w:rsidRPr="00256551" w:rsidRDefault="00256551" w:rsidP="00256551">
      <w:pPr>
        <w:pStyle w:val="ListParagraph"/>
        <w:numPr>
          <w:ilvl w:val="0"/>
          <w:numId w:val="5"/>
        </w:numPr>
        <w:rPr>
          <w:rFonts w:ascii="Arial Narrow" w:hAnsi="Arial Narrow"/>
          <w:b/>
          <w:sz w:val="24"/>
          <w:szCs w:val="24"/>
          <w:u w:val="single"/>
        </w:rPr>
      </w:pPr>
      <w:r w:rsidRPr="00256551">
        <w:rPr>
          <w:rFonts w:ascii="Arial Narrow" w:hAnsi="Arial Narrow" w:cs="Arial"/>
          <w:color w:val="444444"/>
          <w:sz w:val="24"/>
          <w:szCs w:val="24"/>
          <w:shd w:val="clear" w:color="auto" w:fill="FFFFFF"/>
        </w:rPr>
        <w:t>Conditions and analytical relationships that caused the auditor to believe additional auditing procedures or other responses were required and any further responses the auditor concluded were appropriate to address such risks or other conditions.</w:t>
      </w:r>
    </w:p>
    <w:p w14:paraId="101B93DE" w14:textId="01E43E12" w:rsidR="00256551" w:rsidRPr="00256551" w:rsidRDefault="00256551" w:rsidP="00256551">
      <w:pPr>
        <w:pStyle w:val="ListParagraph"/>
        <w:numPr>
          <w:ilvl w:val="0"/>
          <w:numId w:val="5"/>
        </w:numPr>
        <w:rPr>
          <w:rFonts w:ascii="Arial Narrow" w:hAnsi="Arial Narrow"/>
          <w:b/>
          <w:sz w:val="24"/>
          <w:szCs w:val="24"/>
          <w:u w:val="single"/>
        </w:rPr>
      </w:pPr>
      <w:r w:rsidRPr="00256551">
        <w:rPr>
          <w:rFonts w:ascii="Arial Narrow" w:hAnsi="Arial Narrow" w:cs="Arial"/>
          <w:color w:val="444444"/>
          <w:sz w:val="24"/>
          <w:szCs w:val="24"/>
          <w:shd w:val="clear" w:color="auto" w:fill="FFFFFF"/>
        </w:rPr>
        <w:t>The nature of the communications about fraud made to management, the audit committee and others.</w:t>
      </w:r>
    </w:p>
    <w:sectPr w:rsidR="00256551" w:rsidRPr="00256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12CC5"/>
    <w:multiLevelType w:val="hybridMultilevel"/>
    <w:tmpl w:val="88FEEAF8"/>
    <w:lvl w:ilvl="0" w:tplc="04090001">
      <w:start w:val="1"/>
      <w:numFmt w:val="bullet"/>
      <w:lvlText w:val=""/>
      <w:lvlJc w:val="left"/>
      <w:pPr>
        <w:ind w:left="4635" w:hanging="360"/>
      </w:pPr>
      <w:rPr>
        <w:rFonts w:ascii="Symbol" w:hAnsi="Symbol" w:hint="default"/>
      </w:rPr>
    </w:lvl>
    <w:lvl w:ilvl="1" w:tplc="04090003" w:tentative="1">
      <w:start w:val="1"/>
      <w:numFmt w:val="bullet"/>
      <w:lvlText w:val="o"/>
      <w:lvlJc w:val="left"/>
      <w:pPr>
        <w:ind w:left="5355" w:hanging="360"/>
      </w:pPr>
      <w:rPr>
        <w:rFonts w:ascii="Courier New" w:hAnsi="Courier New" w:cs="Courier New" w:hint="default"/>
      </w:rPr>
    </w:lvl>
    <w:lvl w:ilvl="2" w:tplc="04090005" w:tentative="1">
      <w:start w:val="1"/>
      <w:numFmt w:val="bullet"/>
      <w:lvlText w:val=""/>
      <w:lvlJc w:val="left"/>
      <w:pPr>
        <w:ind w:left="6075" w:hanging="360"/>
      </w:pPr>
      <w:rPr>
        <w:rFonts w:ascii="Wingdings" w:hAnsi="Wingdings" w:hint="default"/>
      </w:rPr>
    </w:lvl>
    <w:lvl w:ilvl="3" w:tplc="04090001" w:tentative="1">
      <w:start w:val="1"/>
      <w:numFmt w:val="bullet"/>
      <w:lvlText w:val=""/>
      <w:lvlJc w:val="left"/>
      <w:pPr>
        <w:ind w:left="6795" w:hanging="360"/>
      </w:pPr>
      <w:rPr>
        <w:rFonts w:ascii="Symbol" w:hAnsi="Symbol" w:hint="default"/>
      </w:rPr>
    </w:lvl>
    <w:lvl w:ilvl="4" w:tplc="04090003" w:tentative="1">
      <w:start w:val="1"/>
      <w:numFmt w:val="bullet"/>
      <w:lvlText w:val="o"/>
      <w:lvlJc w:val="left"/>
      <w:pPr>
        <w:ind w:left="7515" w:hanging="360"/>
      </w:pPr>
      <w:rPr>
        <w:rFonts w:ascii="Courier New" w:hAnsi="Courier New" w:cs="Courier New" w:hint="default"/>
      </w:rPr>
    </w:lvl>
    <w:lvl w:ilvl="5" w:tplc="04090005" w:tentative="1">
      <w:start w:val="1"/>
      <w:numFmt w:val="bullet"/>
      <w:lvlText w:val=""/>
      <w:lvlJc w:val="left"/>
      <w:pPr>
        <w:ind w:left="8235" w:hanging="360"/>
      </w:pPr>
      <w:rPr>
        <w:rFonts w:ascii="Wingdings" w:hAnsi="Wingdings" w:hint="default"/>
      </w:rPr>
    </w:lvl>
    <w:lvl w:ilvl="6" w:tplc="04090001" w:tentative="1">
      <w:start w:val="1"/>
      <w:numFmt w:val="bullet"/>
      <w:lvlText w:val=""/>
      <w:lvlJc w:val="left"/>
      <w:pPr>
        <w:ind w:left="8955" w:hanging="360"/>
      </w:pPr>
      <w:rPr>
        <w:rFonts w:ascii="Symbol" w:hAnsi="Symbol" w:hint="default"/>
      </w:rPr>
    </w:lvl>
    <w:lvl w:ilvl="7" w:tplc="04090003" w:tentative="1">
      <w:start w:val="1"/>
      <w:numFmt w:val="bullet"/>
      <w:lvlText w:val="o"/>
      <w:lvlJc w:val="left"/>
      <w:pPr>
        <w:ind w:left="9675" w:hanging="360"/>
      </w:pPr>
      <w:rPr>
        <w:rFonts w:ascii="Courier New" w:hAnsi="Courier New" w:cs="Courier New" w:hint="default"/>
      </w:rPr>
    </w:lvl>
    <w:lvl w:ilvl="8" w:tplc="04090005" w:tentative="1">
      <w:start w:val="1"/>
      <w:numFmt w:val="bullet"/>
      <w:lvlText w:val=""/>
      <w:lvlJc w:val="left"/>
      <w:pPr>
        <w:ind w:left="10395" w:hanging="360"/>
      </w:pPr>
      <w:rPr>
        <w:rFonts w:ascii="Wingdings" w:hAnsi="Wingdings" w:hint="default"/>
      </w:rPr>
    </w:lvl>
  </w:abstractNum>
  <w:abstractNum w:abstractNumId="1" w15:restartNumberingAfterBreak="0">
    <w:nsid w:val="1A75370F"/>
    <w:multiLevelType w:val="hybridMultilevel"/>
    <w:tmpl w:val="0AF8094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278E1B43"/>
    <w:multiLevelType w:val="hybridMultilevel"/>
    <w:tmpl w:val="64DE0E54"/>
    <w:lvl w:ilvl="0" w:tplc="F4889C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E26858"/>
    <w:multiLevelType w:val="hybridMultilevel"/>
    <w:tmpl w:val="6C06BA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74B516F"/>
    <w:multiLevelType w:val="hybridMultilevel"/>
    <w:tmpl w:val="2A205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DF"/>
    <w:rsid w:val="00001AFD"/>
    <w:rsid w:val="001835DF"/>
    <w:rsid w:val="001F3CEA"/>
    <w:rsid w:val="00256551"/>
    <w:rsid w:val="005D2C9F"/>
    <w:rsid w:val="00802E68"/>
    <w:rsid w:val="009D7E14"/>
    <w:rsid w:val="00B84C4D"/>
    <w:rsid w:val="00D32094"/>
    <w:rsid w:val="00F5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228A"/>
  <w15:chartTrackingRefBased/>
  <w15:docId w15:val="{B0AC42BA-81D8-4214-A146-7A0FFF85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835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5D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1835DF"/>
    <w:pPr>
      <w:ind w:left="720"/>
      <w:contextualSpacing/>
    </w:pPr>
  </w:style>
  <w:style w:type="character" w:styleId="Hyperlink">
    <w:name w:val="Hyperlink"/>
    <w:basedOn w:val="DefaultParagraphFont"/>
    <w:uiPriority w:val="99"/>
    <w:semiHidden/>
    <w:unhideWhenUsed/>
    <w:rsid w:val="001F3CEA"/>
    <w:rPr>
      <w:color w:val="0000FF"/>
      <w:u w:val="single"/>
    </w:rPr>
  </w:style>
  <w:style w:type="paragraph" w:styleId="BalloonText">
    <w:name w:val="Balloon Text"/>
    <w:basedOn w:val="Normal"/>
    <w:link w:val="BalloonTextChar"/>
    <w:uiPriority w:val="99"/>
    <w:semiHidden/>
    <w:unhideWhenUsed/>
    <w:rsid w:val="00001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A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98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en.wikipedia.org/wiki/American_Institute_of_Certified_Public_Accounta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Dennoh TheMan</dc:creator>
  <cp:keywords/>
  <dc:description/>
  <cp:lastModifiedBy>Dennoh TheMan</cp:lastModifiedBy>
  <cp:revision>1</cp:revision>
  <dcterms:created xsi:type="dcterms:W3CDTF">2019-03-28T20:05:00Z</dcterms:created>
  <dcterms:modified xsi:type="dcterms:W3CDTF">2019-03-29T00:27:00Z</dcterms:modified>
</cp:coreProperties>
</file>